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706D"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b/>
          <w:bCs/>
          <w:color w:val="4A4A4A"/>
          <w:sz w:val="21"/>
          <w:szCs w:val="21"/>
          <w:lang w:eastAsia="tr-TR"/>
        </w:rPr>
        <w:t>Anlaşmalarımız</w:t>
      </w:r>
    </w:p>
    <w:p w14:paraId="21ED0F3E"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Üniversitemizin yapmış olduğu ulusal ve uluslararası protokoller aracılığıyla öğrenci öğrenim hareketliliğine katkı sağlamaktadır. Erasmus+ anlaşmaları gereği öğrencilerimiz farklı ülkelerde eğitim öğretim görme imkanına sahip olmakta ve kendilerini küresel anlamda geliştirmektedirler.</w:t>
      </w:r>
    </w:p>
    <w:p w14:paraId="1E6E8AED" w14:textId="77777777" w:rsidR="00D25B77" w:rsidRPr="00D25B77" w:rsidRDefault="00D25B77" w:rsidP="005A014B">
      <w:pPr>
        <w:shd w:val="clear" w:color="auto" w:fill="FFFFFF"/>
        <w:spacing w:after="180" w:line="330" w:lineRule="atLeast"/>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Ayrıntılı bilgi için; </w:t>
      </w:r>
      <w:hyperlink r:id="rId4" w:tgtFrame="_blank" w:history="1">
        <w:r w:rsidRPr="00D25B77">
          <w:rPr>
            <w:rFonts w:ascii="Arial" w:eastAsia="Times New Roman" w:hAnsi="Arial" w:cs="Arial"/>
            <w:color w:val="4A4A4A"/>
            <w:sz w:val="18"/>
            <w:szCs w:val="18"/>
            <w:u w:val="single"/>
            <w:lang w:eastAsia="tr-TR"/>
          </w:rPr>
          <w:t>https://iro.mehmetakif.edu.tr/</w:t>
        </w:r>
      </w:hyperlink>
      <w:r w:rsidRPr="00D25B77">
        <w:rPr>
          <w:rFonts w:ascii="Arial" w:eastAsia="Times New Roman" w:hAnsi="Arial" w:cs="Arial"/>
          <w:color w:val="4A4A4A"/>
          <w:sz w:val="18"/>
          <w:szCs w:val="18"/>
          <w:lang w:eastAsia="tr-TR"/>
        </w:rPr>
        <w:t> </w:t>
      </w:r>
      <w:r w:rsidRPr="00D25B77">
        <w:rPr>
          <w:rFonts w:ascii="Arial" w:eastAsia="Times New Roman" w:hAnsi="Arial" w:cs="Arial"/>
          <w:color w:val="4A4A4A"/>
          <w:sz w:val="18"/>
          <w:szCs w:val="18"/>
          <w:lang w:eastAsia="tr-TR"/>
        </w:rPr>
        <w:br/>
      </w:r>
    </w:p>
    <w:p w14:paraId="11D471EE"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b/>
          <w:bCs/>
          <w:color w:val="4A4A4A"/>
          <w:sz w:val="21"/>
          <w:szCs w:val="21"/>
          <w:lang w:eastAsia="tr-TR"/>
        </w:rPr>
        <w:t>Diploma Eki</w:t>
      </w:r>
    </w:p>
    <w:p w14:paraId="1E23640C"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Diploma ekinde, mezuniyet tarihi, diploma numarası, alınan derecenin düzeyi, içeriği ve kullanım alanları, Üniversitenin eğitim-öğretim ve değerlendirme esasları ile ulusal eğitim sistemi hakkında bilgiler yer alır. Diploma eki; Avrupa Komisyonu, Avrupa Konseyi ve UNESCO/CEPES tarafından geliştirilen bir model temel alınarak Öğrenci İşleri Daire Başkanlığı tarafından Öğrenci İşleri Bilgi İşletim Sistemine göre elektronik ortamda hazırlanır ve Öğrenci İşleri Daire Başkanı tarafından e-imza/ıslak imza ile imzalanır. </w:t>
      </w:r>
    </w:p>
    <w:p w14:paraId="4EC1D6C2" w14:textId="77777777" w:rsidR="00D25B77" w:rsidRPr="00D25B77" w:rsidRDefault="00000000" w:rsidP="00D25B77">
      <w:pPr>
        <w:shd w:val="clear" w:color="auto" w:fill="FFFFFF"/>
        <w:spacing w:after="180" w:line="330" w:lineRule="atLeast"/>
        <w:jc w:val="both"/>
        <w:rPr>
          <w:rFonts w:ascii="Arial" w:eastAsia="Times New Roman" w:hAnsi="Arial" w:cs="Arial"/>
          <w:color w:val="666666"/>
          <w:sz w:val="18"/>
          <w:szCs w:val="18"/>
          <w:lang w:eastAsia="tr-TR"/>
        </w:rPr>
      </w:pPr>
      <w:hyperlink r:id="rId5" w:tgtFrame="_blank" w:history="1">
        <w:r w:rsidR="00D25B77" w:rsidRPr="00D25B77">
          <w:rPr>
            <w:rFonts w:ascii="Arial" w:eastAsia="Times New Roman" w:hAnsi="Arial" w:cs="Arial"/>
            <w:color w:val="0000FF"/>
            <w:sz w:val="18"/>
            <w:szCs w:val="18"/>
            <w:u w:val="single"/>
            <w:lang w:eastAsia="tr-TR"/>
          </w:rPr>
          <w:t>Diploma Eki</w:t>
        </w:r>
      </w:hyperlink>
    </w:p>
    <w:p w14:paraId="7D58A55E"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b/>
          <w:bCs/>
          <w:color w:val="4A4A4A"/>
          <w:sz w:val="21"/>
          <w:szCs w:val="21"/>
          <w:lang w:eastAsia="tr-TR"/>
        </w:rPr>
        <w:t>AKTS</w:t>
      </w:r>
    </w:p>
    <w:p w14:paraId="4CCCFFA2"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Meslek yüksekokulumuzun akademik birimlerinde yürütülen ön lisans programlarının eğitim ve öğretim amaçları ve program çıktıları “Türkiye Yükseköğretim Yeterlilikler Çerçevesi (TYYÇ)” içerisinde değerlendirilmekte ve ayrıca alana özgü yeterlilikler de göz önünde bulundurulmaktadır. Eğitim öğretim programları, “Avrupa Yükseköğretim Alanı Yeterlikler Çerçevesi” kapsamında geliştirilmiş olan TYYÇ ile belirlenen hedeflere göre yapılmaktadır. Örneğin; ders kredileri, “Türkiye Yükseköğretim Yeterlikleri Çerçevesinde belirlenen ve program bazında öngörülen bilgi, beceri ve yetkinliklerin kazandırılmasına dayalı öğrenci iş yükü esas alınarak kredilendirilmekte ve eğitim öğretim programları, dönem başına 30 AKTS olarak uygulanmaktadır. Ön Lisans programlarının bulunduğu akademik birimler hakkında detaylı bilgiye </w:t>
      </w:r>
      <w:hyperlink r:id="rId6" w:tgtFrame="_blank" w:history="1">
        <w:r w:rsidRPr="00D25B77">
          <w:rPr>
            <w:rFonts w:ascii="Arial" w:eastAsia="Times New Roman" w:hAnsi="Arial" w:cs="Arial"/>
            <w:color w:val="0000FF"/>
            <w:sz w:val="18"/>
            <w:szCs w:val="18"/>
            <w:u w:val="single"/>
            <w:lang w:eastAsia="tr-TR"/>
          </w:rPr>
          <w:t>https://obs.mehmetakif.edu.tr/oibs/bologna/</w:t>
        </w:r>
      </w:hyperlink>
      <w:r w:rsidRPr="00D25B77">
        <w:rPr>
          <w:rFonts w:ascii="Arial" w:eastAsia="Times New Roman" w:hAnsi="Arial" w:cs="Arial"/>
          <w:color w:val="4A4A4A"/>
          <w:sz w:val="18"/>
          <w:szCs w:val="18"/>
          <w:lang w:eastAsia="tr-TR"/>
        </w:rPr>
        <w:t> adresinden ulaşılmaktadır.  Programların TYYÇ ilişkisine </w:t>
      </w:r>
      <w:hyperlink r:id="rId7" w:tgtFrame="_blank" w:history="1">
        <w:r w:rsidRPr="00D25B77">
          <w:rPr>
            <w:rFonts w:ascii="Arial" w:eastAsia="Times New Roman" w:hAnsi="Arial" w:cs="Arial"/>
            <w:color w:val="0000FF"/>
            <w:sz w:val="18"/>
            <w:szCs w:val="18"/>
            <w:u w:val="single"/>
            <w:lang w:eastAsia="tr-TR"/>
          </w:rPr>
          <w:t>https://obs.mehmetakif.edu.tr/oibs/bologna/</w:t>
        </w:r>
      </w:hyperlink>
      <w:r w:rsidRPr="00D25B77">
        <w:rPr>
          <w:rFonts w:ascii="Arial" w:eastAsia="Times New Roman" w:hAnsi="Arial" w:cs="Arial"/>
          <w:color w:val="4A4A4A"/>
          <w:sz w:val="18"/>
          <w:szCs w:val="18"/>
          <w:lang w:eastAsia="tr-TR"/>
        </w:rPr>
        <w:t> adresinden ulaşılabilmektedir.</w:t>
      </w:r>
    </w:p>
    <w:p w14:paraId="6F77C6AF"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 xml:space="preserve">Meslek yüksekokulumuzda yürütülen eğitim ve öğretim faaliyetlerinde öğrenci iş yüküne dayalı tasarım, YÖKAK ve AKTS dikkate alınarak belirlenmektedir. Meslek yüksekokulumuzda AKTS hesaplanmasında, 30 AKTS 1 yarıyıllık iş yüküne, 60 AKTS 1 yıllık iş yüküne, 1 AKTS = 25–30 saatlik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derslik içi ve derslik dışı çalışmalar ve sınavlar dikkate alınmaktadır. İş yükü üzerinden belirlenen </w:t>
      </w:r>
      <w:proofErr w:type="spellStart"/>
      <w:r w:rsidRPr="00D25B77">
        <w:rPr>
          <w:rFonts w:ascii="Arial" w:eastAsia="Times New Roman" w:hAnsi="Arial" w:cs="Arial"/>
          <w:color w:val="4A4A4A"/>
          <w:sz w:val="18"/>
          <w:szCs w:val="18"/>
          <w:lang w:eastAsia="tr-TR"/>
        </w:rPr>
        <w:t>AKTS’ler</w:t>
      </w:r>
      <w:proofErr w:type="spellEnd"/>
      <w:r w:rsidRPr="00D25B77">
        <w:rPr>
          <w:rFonts w:ascii="Arial" w:eastAsia="Times New Roman" w:hAnsi="Arial" w:cs="Arial"/>
          <w:color w:val="4A4A4A"/>
          <w:sz w:val="18"/>
          <w:szCs w:val="18"/>
          <w:lang w:eastAsia="tr-TR"/>
        </w:rPr>
        <w:t xml:space="preserve"> kamuoyuna açık olarak üniversitemiz resmi web sayfasında yer alan “AKTS Bilgi Paketi” adı altında, </w:t>
      </w:r>
      <w:hyperlink r:id="rId8" w:history="1">
        <w:r w:rsidRPr="00D25B77">
          <w:rPr>
            <w:rFonts w:ascii="Arial" w:eastAsia="Times New Roman" w:hAnsi="Arial" w:cs="Arial"/>
            <w:color w:val="0000FF"/>
            <w:sz w:val="18"/>
            <w:szCs w:val="18"/>
            <w:u w:val="single"/>
            <w:lang w:eastAsia="tr-TR"/>
          </w:rPr>
          <w:t>https://obs.mehmetakif.edu.tr/oibs/bologna/</w:t>
        </w:r>
      </w:hyperlink>
      <w:r w:rsidRPr="00D25B77">
        <w:rPr>
          <w:rFonts w:ascii="Arial" w:eastAsia="Times New Roman" w:hAnsi="Arial" w:cs="Arial"/>
          <w:color w:val="4A4A4A"/>
          <w:sz w:val="18"/>
          <w:szCs w:val="18"/>
          <w:lang w:eastAsia="tr-TR"/>
        </w:rPr>
        <w:t> adresinde Meslek yüksekokulumuz akademik birimlerine ait alt başlıklarda duyurulmaktadır. </w:t>
      </w:r>
    </w:p>
    <w:p w14:paraId="610E29CC" w14:textId="77777777" w:rsidR="00D25B77" w:rsidRPr="00D25B77" w:rsidRDefault="00D25B77" w:rsidP="00D25B77">
      <w:pPr>
        <w:shd w:val="clear" w:color="auto" w:fill="FFFFFF"/>
        <w:spacing w:after="180" w:line="330" w:lineRule="atLeast"/>
        <w:jc w:val="both"/>
        <w:rPr>
          <w:rFonts w:ascii="Arial" w:eastAsia="Times New Roman" w:hAnsi="Arial" w:cs="Arial"/>
          <w:color w:val="666666"/>
          <w:sz w:val="18"/>
          <w:szCs w:val="18"/>
          <w:lang w:eastAsia="tr-TR"/>
        </w:rPr>
      </w:pPr>
      <w:r w:rsidRPr="00D25B77">
        <w:rPr>
          <w:rFonts w:ascii="Arial" w:eastAsia="Times New Roman" w:hAnsi="Arial" w:cs="Arial"/>
          <w:color w:val="4A4A4A"/>
          <w:sz w:val="18"/>
          <w:szCs w:val="18"/>
          <w:lang w:eastAsia="tr-TR"/>
        </w:rPr>
        <w:t>Meslek yüksekokulumuzun tüm akademik birimlerinde Avrupa Kredi Transfer Sistemi (AKTS) çalışmaları devam etmektedir (</w:t>
      </w:r>
      <w:hyperlink r:id="rId9" w:history="1">
        <w:r w:rsidRPr="00D25B77">
          <w:rPr>
            <w:rFonts w:ascii="Arial" w:eastAsia="Times New Roman" w:hAnsi="Arial" w:cs="Arial"/>
            <w:color w:val="0000FF"/>
            <w:sz w:val="18"/>
            <w:szCs w:val="18"/>
            <w:u w:val="single"/>
            <w:lang w:eastAsia="tr-TR"/>
          </w:rPr>
          <w:t>https://obs.mehmetakif.edu.tr/oibs/bologna/</w:t>
        </w:r>
      </w:hyperlink>
      <w:r w:rsidRPr="00D25B77">
        <w:rPr>
          <w:rFonts w:ascii="Arial" w:eastAsia="Times New Roman" w:hAnsi="Arial" w:cs="Arial"/>
          <w:color w:val="4A4A4A"/>
          <w:sz w:val="18"/>
          <w:szCs w:val="18"/>
          <w:lang w:eastAsia="tr-TR"/>
        </w:rPr>
        <w:t>). </w:t>
      </w:r>
    </w:p>
    <w:p w14:paraId="77666B9F" w14:textId="77777777" w:rsidR="001E0743" w:rsidRDefault="001E0743"/>
    <w:sectPr w:rsidR="001E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77"/>
    <w:rsid w:val="001E0743"/>
    <w:rsid w:val="0034221D"/>
    <w:rsid w:val="005A014B"/>
    <w:rsid w:val="00A03676"/>
    <w:rsid w:val="00A856B0"/>
    <w:rsid w:val="00AF6939"/>
    <w:rsid w:val="00BA5B15"/>
    <w:rsid w:val="00D25B77"/>
    <w:rsid w:val="00D52F4F"/>
    <w:rsid w:val="00E74DE8"/>
    <w:rsid w:val="00FB0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F046"/>
  <w15:chartTrackingRefBased/>
  <w15:docId w15:val="{88407EEF-D8E6-4AEA-B509-D8385C5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5B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25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mehmetakif.edu.tr/oibs/bologna/" TargetMode="External"/><Relationship Id="rId3" Type="http://schemas.openxmlformats.org/officeDocument/2006/relationships/webSettings" Target="webSettings.xml"/><Relationship Id="rId7" Type="http://schemas.openxmlformats.org/officeDocument/2006/relationships/hyperlink" Target="https://obs.mehmetakif.edu.tr/oibs/bolog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mehmetakif.edu.tr/oibs/bologna/" TargetMode="External"/><Relationship Id="rId11" Type="http://schemas.openxmlformats.org/officeDocument/2006/relationships/theme" Target="theme/theme1.xml"/><Relationship Id="rId5" Type="http://schemas.openxmlformats.org/officeDocument/2006/relationships/hyperlink" Target="https://egmyo.mehmetakif.edu.tr/upload/egmyo/18-form-1590-10419367-diploma-eki-kalite.pdf" TargetMode="External"/><Relationship Id="rId10" Type="http://schemas.openxmlformats.org/officeDocument/2006/relationships/fontTable" Target="fontTable.xml"/><Relationship Id="rId4" Type="http://schemas.openxmlformats.org/officeDocument/2006/relationships/hyperlink" Target="https://iro.mehmetakif.edu.tr/" TargetMode="External"/><Relationship Id="rId9" Type="http://schemas.openxmlformats.org/officeDocument/2006/relationships/hyperlink" Target="https://obs.mehmetakif.edu.tr/oibs/bologn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AYAN</cp:lastModifiedBy>
  <cp:revision>3</cp:revision>
  <dcterms:created xsi:type="dcterms:W3CDTF">2024-05-06T11:49:00Z</dcterms:created>
  <dcterms:modified xsi:type="dcterms:W3CDTF">2024-07-30T16:00:00Z</dcterms:modified>
</cp:coreProperties>
</file>