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9062"/>
      </w:tblGrid>
      <w:tr w:rsidR="004974B7" w14:paraId="2AAD9617" w14:textId="77777777" w:rsidTr="00DD077F">
        <w:tc>
          <w:tcPr>
            <w:tcW w:w="9062" w:type="dxa"/>
          </w:tcPr>
          <w:p w14:paraId="7F7AF247" w14:textId="41C8A44C" w:rsidR="004974B7" w:rsidRPr="00D8396F" w:rsidRDefault="00835FBA" w:rsidP="00065CF4">
            <w:pPr>
              <w:jc w:val="center"/>
              <w:rPr>
                <w:b/>
              </w:rPr>
            </w:pPr>
            <w:bookmarkStart w:id="0" w:name="_GoBack"/>
            <w:bookmarkEnd w:id="0"/>
            <w:r>
              <w:rPr>
                <w:b/>
              </w:rPr>
              <w:t>BAŞLIK</w:t>
            </w:r>
          </w:p>
        </w:tc>
      </w:tr>
      <w:tr w:rsidR="004974B7" w14:paraId="6BE6D926" w14:textId="77777777" w:rsidTr="00DD077F">
        <w:tc>
          <w:tcPr>
            <w:tcW w:w="9062" w:type="dxa"/>
          </w:tcPr>
          <w:p w14:paraId="6063B36A" w14:textId="1C298264" w:rsidR="004974B7" w:rsidRPr="00540706" w:rsidRDefault="00C523A3" w:rsidP="00656E17">
            <w:pPr>
              <w:jc w:val="center"/>
              <w:rPr>
                <w:sz w:val="20"/>
                <w:szCs w:val="20"/>
              </w:rPr>
            </w:pPr>
            <w:r>
              <w:rPr>
                <w:rFonts w:eastAsia="Calibri"/>
                <w:sz w:val="20"/>
                <w:szCs w:val="20"/>
              </w:rPr>
              <w:t>Elektrik Enerjisi Üretim, İletim ve Dağıtımı</w:t>
            </w:r>
            <w:r w:rsidR="00835FBA" w:rsidRPr="00540706">
              <w:rPr>
                <w:rFonts w:eastAsia="Calibri"/>
                <w:sz w:val="20"/>
                <w:szCs w:val="20"/>
              </w:rPr>
              <w:t xml:space="preserve"> Program Danışman Kurulu Toplantı Tutanağı</w:t>
            </w:r>
          </w:p>
        </w:tc>
      </w:tr>
    </w:tbl>
    <w:p w14:paraId="12257960" w14:textId="77777777" w:rsidR="004974B7" w:rsidRDefault="004974B7" w:rsidP="004974B7"/>
    <w:tbl>
      <w:tblPr>
        <w:tblStyle w:val="TabloKlavuzu"/>
        <w:tblW w:w="9067" w:type="dxa"/>
        <w:tblLook w:val="04A0" w:firstRow="1" w:lastRow="0" w:firstColumn="1" w:lastColumn="0" w:noHBand="0" w:noVBand="1"/>
      </w:tblPr>
      <w:tblGrid>
        <w:gridCol w:w="421"/>
        <w:gridCol w:w="8646"/>
      </w:tblGrid>
      <w:tr w:rsidR="004974B7" w:rsidRPr="0045181E" w14:paraId="28699F37" w14:textId="77777777" w:rsidTr="00DD077F">
        <w:tc>
          <w:tcPr>
            <w:tcW w:w="9067" w:type="dxa"/>
            <w:gridSpan w:val="2"/>
          </w:tcPr>
          <w:p w14:paraId="42AE0103" w14:textId="77777777" w:rsidR="004974B7" w:rsidRPr="0045181E" w:rsidRDefault="004974B7" w:rsidP="00065CF4">
            <w:pPr>
              <w:pStyle w:val="msobodytextindent"/>
              <w:jc w:val="center"/>
              <w:rPr>
                <w:b/>
                <w:szCs w:val="24"/>
              </w:rPr>
            </w:pPr>
            <w:r w:rsidRPr="0045181E">
              <w:rPr>
                <w:b/>
                <w:szCs w:val="24"/>
              </w:rPr>
              <w:t>GÜNDEM MADDELERİ</w:t>
            </w:r>
          </w:p>
        </w:tc>
      </w:tr>
      <w:tr w:rsidR="004974B7" w:rsidRPr="0045181E" w14:paraId="0C88B042" w14:textId="77777777" w:rsidTr="00DD077F">
        <w:tc>
          <w:tcPr>
            <w:tcW w:w="421" w:type="dxa"/>
          </w:tcPr>
          <w:p w14:paraId="770DD3A0" w14:textId="77777777" w:rsidR="004974B7" w:rsidRPr="00540706" w:rsidRDefault="004974B7" w:rsidP="004974B7">
            <w:pPr>
              <w:pStyle w:val="msobodytextindent"/>
              <w:numPr>
                <w:ilvl w:val="0"/>
                <w:numId w:val="1"/>
              </w:numPr>
              <w:jc w:val="left"/>
              <w:rPr>
                <w:rFonts w:eastAsia="Calibri"/>
                <w:sz w:val="20"/>
                <w:lang w:eastAsia="en-US"/>
              </w:rPr>
            </w:pPr>
          </w:p>
        </w:tc>
        <w:tc>
          <w:tcPr>
            <w:tcW w:w="8646" w:type="dxa"/>
          </w:tcPr>
          <w:p w14:paraId="687C8860" w14:textId="204C9C52" w:rsidR="004974B7" w:rsidRPr="00540706" w:rsidRDefault="002C0526" w:rsidP="001E11E2">
            <w:pPr>
              <w:rPr>
                <w:b/>
                <w:sz w:val="20"/>
                <w:szCs w:val="20"/>
              </w:rPr>
            </w:pPr>
            <w:r w:rsidRPr="00540706">
              <w:rPr>
                <w:color w:val="000000"/>
                <w:sz w:val="20"/>
                <w:szCs w:val="20"/>
              </w:rPr>
              <w:t>Programın Mevcut Durumunun Değerlendirilmesi</w:t>
            </w:r>
          </w:p>
        </w:tc>
      </w:tr>
      <w:tr w:rsidR="004974B7" w:rsidRPr="0045181E" w14:paraId="2844AA7A" w14:textId="77777777" w:rsidTr="00DD077F">
        <w:tc>
          <w:tcPr>
            <w:tcW w:w="421" w:type="dxa"/>
          </w:tcPr>
          <w:p w14:paraId="72DE7E3C" w14:textId="77777777" w:rsidR="004974B7" w:rsidRPr="00540706" w:rsidRDefault="004974B7" w:rsidP="004974B7">
            <w:pPr>
              <w:pStyle w:val="msobodytextindent"/>
              <w:numPr>
                <w:ilvl w:val="0"/>
                <w:numId w:val="1"/>
              </w:numPr>
              <w:jc w:val="left"/>
              <w:rPr>
                <w:rFonts w:eastAsia="Calibri"/>
                <w:sz w:val="20"/>
                <w:lang w:eastAsia="en-US"/>
              </w:rPr>
            </w:pPr>
          </w:p>
        </w:tc>
        <w:tc>
          <w:tcPr>
            <w:tcW w:w="8646" w:type="dxa"/>
          </w:tcPr>
          <w:p w14:paraId="5C9DAEB8" w14:textId="79CBF30F" w:rsidR="004974B7" w:rsidRPr="00540706" w:rsidRDefault="002C0526" w:rsidP="001E11E2">
            <w:pPr>
              <w:rPr>
                <w:sz w:val="20"/>
                <w:szCs w:val="20"/>
              </w:rPr>
            </w:pPr>
            <w:r w:rsidRPr="00540706">
              <w:rPr>
                <w:sz w:val="20"/>
                <w:szCs w:val="20"/>
              </w:rPr>
              <w:t>Müfredatın Sektör İhtiyaçları Açısından Değerlendirilmesi</w:t>
            </w:r>
          </w:p>
        </w:tc>
      </w:tr>
      <w:tr w:rsidR="004974B7" w:rsidRPr="0045181E" w14:paraId="5FDAB62E" w14:textId="77777777" w:rsidTr="00DD077F">
        <w:tc>
          <w:tcPr>
            <w:tcW w:w="421" w:type="dxa"/>
          </w:tcPr>
          <w:p w14:paraId="6D4CD7CB" w14:textId="77777777" w:rsidR="004974B7" w:rsidRPr="00540706" w:rsidRDefault="004974B7" w:rsidP="004974B7">
            <w:pPr>
              <w:pStyle w:val="msobodytextindent"/>
              <w:numPr>
                <w:ilvl w:val="0"/>
                <w:numId w:val="1"/>
              </w:numPr>
              <w:jc w:val="left"/>
              <w:rPr>
                <w:rFonts w:eastAsia="Calibri"/>
                <w:sz w:val="20"/>
                <w:lang w:eastAsia="en-US"/>
              </w:rPr>
            </w:pPr>
          </w:p>
        </w:tc>
        <w:tc>
          <w:tcPr>
            <w:tcW w:w="8646" w:type="dxa"/>
          </w:tcPr>
          <w:p w14:paraId="37FF7FE8" w14:textId="25394D1F" w:rsidR="004974B7" w:rsidRPr="00540706" w:rsidRDefault="002C0526" w:rsidP="00065CF4">
            <w:pPr>
              <w:pStyle w:val="msobodytextindent"/>
              <w:rPr>
                <w:rFonts w:eastAsia="Calibri"/>
                <w:sz w:val="20"/>
                <w:lang w:eastAsia="en-US"/>
              </w:rPr>
            </w:pPr>
            <w:r w:rsidRPr="00540706">
              <w:rPr>
                <w:rFonts w:eastAsia="Calibri"/>
                <w:sz w:val="20"/>
                <w:lang w:eastAsia="en-US"/>
              </w:rPr>
              <w:t>Uygulamalı Eğitim</w:t>
            </w:r>
            <w:r w:rsidR="00EE3E83">
              <w:rPr>
                <w:rFonts w:eastAsia="Calibri"/>
                <w:sz w:val="20"/>
                <w:lang w:eastAsia="en-US"/>
              </w:rPr>
              <w:t xml:space="preserve"> </w:t>
            </w:r>
            <w:r w:rsidR="003617F8">
              <w:rPr>
                <w:rFonts w:eastAsia="Calibri"/>
                <w:sz w:val="20"/>
                <w:lang w:eastAsia="en-US"/>
              </w:rPr>
              <w:t>ve</w:t>
            </w:r>
            <w:r w:rsidR="003617F8" w:rsidRPr="00540706">
              <w:rPr>
                <w:rFonts w:eastAsia="Calibri"/>
                <w:sz w:val="20"/>
                <w:lang w:eastAsia="en-US"/>
              </w:rPr>
              <w:t xml:space="preserve"> İş</w:t>
            </w:r>
            <w:r w:rsidRPr="00540706">
              <w:rPr>
                <w:rFonts w:eastAsia="Calibri"/>
                <w:sz w:val="20"/>
                <w:lang w:eastAsia="en-US"/>
              </w:rPr>
              <w:t xml:space="preserve"> Yeri Eğitimi Süreçleri</w:t>
            </w:r>
          </w:p>
        </w:tc>
      </w:tr>
      <w:tr w:rsidR="004974B7" w:rsidRPr="0045181E" w14:paraId="5B5A7B9A" w14:textId="77777777" w:rsidTr="00DD077F">
        <w:tc>
          <w:tcPr>
            <w:tcW w:w="421" w:type="dxa"/>
          </w:tcPr>
          <w:p w14:paraId="648BE6D0" w14:textId="77777777" w:rsidR="004974B7" w:rsidRPr="00540706" w:rsidRDefault="004974B7" w:rsidP="004974B7">
            <w:pPr>
              <w:pStyle w:val="msobodytextindent"/>
              <w:numPr>
                <w:ilvl w:val="0"/>
                <w:numId w:val="1"/>
              </w:numPr>
              <w:jc w:val="left"/>
              <w:rPr>
                <w:rFonts w:eastAsia="Calibri"/>
                <w:sz w:val="20"/>
                <w:lang w:eastAsia="en-US"/>
              </w:rPr>
            </w:pPr>
          </w:p>
        </w:tc>
        <w:tc>
          <w:tcPr>
            <w:tcW w:w="8646" w:type="dxa"/>
          </w:tcPr>
          <w:p w14:paraId="6622AD2D" w14:textId="06B486A0" w:rsidR="004974B7" w:rsidRPr="00540706" w:rsidRDefault="002C0526" w:rsidP="003B4E05">
            <w:pPr>
              <w:rPr>
                <w:rFonts w:eastAsia="Calibri"/>
                <w:sz w:val="20"/>
                <w:szCs w:val="20"/>
                <w:lang w:eastAsia="en-US"/>
              </w:rPr>
            </w:pPr>
            <w:r w:rsidRPr="00540706">
              <w:rPr>
                <w:rFonts w:eastAsia="Calibri"/>
                <w:sz w:val="20"/>
                <w:szCs w:val="20"/>
              </w:rPr>
              <w:t>Sektör-MYO İş Birliği Olanaklarının Geliştirilmesi</w:t>
            </w:r>
          </w:p>
        </w:tc>
      </w:tr>
      <w:tr w:rsidR="00750E3C" w:rsidRPr="0045181E" w14:paraId="0667E033" w14:textId="77777777" w:rsidTr="00DD077F">
        <w:tc>
          <w:tcPr>
            <w:tcW w:w="421" w:type="dxa"/>
          </w:tcPr>
          <w:p w14:paraId="09E153BA" w14:textId="77777777" w:rsidR="00750E3C" w:rsidRPr="00540706" w:rsidRDefault="00750E3C" w:rsidP="004974B7">
            <w:pPr>
              <w:pStyle w:val="msobodytextindent"/>
              <w:numPr>
                <w:ilvl w:val="0"/>
                <w:numId w:val="1"/>
              </w:numPr>
              <w:jc w:val="left"/>
              <w:rPr>
                <w:rFonts w:eastAsia="Calibri"/>
                <w:sz w:val="20"/>
                <w:lang w:eastAsia="en-US"/>
              </w:rPr>
            </w:pPr>
          </w:p>
        </w:tc>
        <w:tc>
          <w:tcPr>
            <w:tcW w:w="8646" w:type="dxa"/>
          </w:tcPr>
          <w:p w14:paraId="2455B0AF" w14:textId="6DE35847" w:rsidR="00750E3C" w:rsidRPr="00540706" w:rsidRDefault="002C0526" w:rsidP="003B4E05">
            <w:pPr>
              <w:rPr>
                <w:rFonts w:eastAsia="Calibri"/>
                <w:sz w:val="20"/>
                <w:szCs w:val="20"/>
                <w:lang w:eastAsia="en-US"/>
              </w:rPr>
            </w:pPr>
            <w:r w:rsidRPr="00540706">
              <w:rPr>
                <w:rFonts w:eastAsia="Calibri"/>
                <w:sz w:val="20"/>
                <w:szCs w:val="20"/>
              </w:rPr>
              <w:t>Kalite Güvence ve Akreditasyon Süreçleri</w:t>
            </w:r>
          </w:p>
        </w:tc>
      </w:tr>
    </w:tbl>
    <w:p w14:paraId="7009F72C" w14:textId="77777777" w:rsidR="004974B7" w:rsidRPr="0045181E" w:rsidRDefault="004974B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45181E" w14:paraId="75D36B79" w14:textId="77777777" w:rsidTr="00065CF4">
        <w:tc>
          <w:tcPr>
            <w:tcW w:w="10194" w:type="dxa"/>
          </w:tcPr>
          <w:p w14:paraId="495C5270" w14:textId="77777777" w:rsidR="004974B7" w:rsidRPr="0045181E" w:rsidRDefault="004974B7" w:rsidP="00065CF4">
            <w:pPr>
              <w:pStyle w:val="msobodytextindent"/>
              <w:jc w:val="center"/>
              <w:rPr>
                <w:b/>
                <w:szCs w:val="24"/>
              </w:rPr>
            </w:pPr>
            <w:r w:rsidRPr="0045181E">
              <w:rPr>
                <w:b/>
                <w:szCs w:val="24"/>
              </w:rPr>
              <w:t>KAPSAM</w:t>
            </w:r>
          </w:p>
        </w:tc>
      </w:tr>
      <w:tr w:rsidR="004974B7" w:rsidRPr="0045181E" w14:paraId="0BBDAA37" w14:textId="77777777" w:rsidTr="00065CF4">
        <w:trPr>
          <w:trHeight w:val="4064"/>
        </w:trPr>
        <w:tc>
          <w:tcPr>
            <w:tcW w:w="10194" w:type="dxa"/>
          </w:tcPr>
          <w:p w14:paraId="7916D43B" w14:textId="77777777" w:rsidR="00AD4FDD" w:rsidRDefault="00AD4FDD" w:rsidP="00540706">
            <w:pPr>
              <w:spacing w:after="160" w:line="259" w:lineRule="auto"/>
              <w:rPr>
                <w:rFonts w:eastAsia="Calibri"/>
                <w:kern w:val="2"/>
                <w:sz w:val="20"/>
                <w:szCs w:val="20"/>
                <w:lang w:eastAsia="en-US"/>
                <w14:ligatures w14:val="standardContextual"/>
              </w:rPr>
            </w:pPr>
            <w:r w:rsidRPr="00AD4FDD">
              <w:rPr>
                <w:rFonts w:eastAsia="Calibri"/>
                <w:kern w:val="2"/>
                <w:sz w:val="20"/>
                <w:szCs w:val="20"/>
                <w:lang w:eastAsia="en-US"/>
                <w14:ligatures w14:val="standardContextual"/>
              </w:rPr>
              <w:t>Programın mevcut durumu değerlendirilmiş; öğrenci kapasitesi, akademik kadro, fiziki altyapı ve eğitim faaliyetlerinin bütüncül ele alınmasının faydalı olduğu ifade edilmiştir. Uygulamalı eğitim ve sektör odaklı derslerin güçlü olduğu, laboratuvar altyapısının güçlendirilmesi, kontenjan ve mezun izleme sistemlerinin geliştirilmesinin programın etkinliğini artıracağı belirtilmiştir.</w:t>
            </w:r>
          </w:p>
          <w:p w14:paraId="0E213216" w14:textId="2F62B718" w:rsidR="00540706" w:rsidRPr="00540706" w:rsidRDefault="00540706" w:rsidP="00540706">
            <w:pPr>
              <w:spacing w:after="160" w:line="259" w:lineRule="auto"/>
              <w:rPr>
                <w:rFonts w:eastAsia="Calibri"/>
                <w:kern w:val="2"/>
                <w:sz w:val="20"/>
                <w:szCs w:val="20"/>
                <w:lang w:eastAsia="en-US"/>
                <w14:ligatures w14:val="standardContextual"/>
              </w:rPr>
            </w:pPr>
            <w:r w:rsidRPr="00540706">
              <w:rPr>
                <w:rFonts w:eastAsia="Calibri"/>
                <w:kern w:val="2"/>
                <w:sz w:val="20"/>
                <w:szCs w:val="20"/>
                <w:lang w:eastAsia="en-US"/>
                <w14:ligatures w14:val="standardContextual"/>
              </w:rPr>
              <w:t>Program müfredatının, YÖK koordinasyonunda ve farklı üniversitelerden akademisyenlerin katkılarıyla hazırlandığı dikkate alınarak genel olarak yeterli ve güncel olduğu ifade edilmiştir. Bununla birlikte, sektör ihtiyaçlarına uyumun artırılması amacıyla uygulama ağırlığının güçlendirilmesi ve güncel teknolojilerin seçmeli dersler ve sektör iş birlikleri ile desteklenmesinin programın etkinliğini artıracağı vurgulanmıştır.</w:t>
            </w:r>
          </w:p>
          <w:p w14:paraId="399A1D0F" w14:textId="6F8C92D2" w:rsidR="00540706" w:rsidRPr="00540706" w:rsidRDefault="00540706" w:rsidP="00540706">
            <w:pPr>
              <w:spacing w:after="160" w:line="259" w:lineRule="auto"/>
              <w:rPr>
                <w:rFonts w:eastAsia="Calibri"/>
                <w:kern w:val="2"/>
                <w:sz w:val="20"/>
                <w:szCs w:val="20"/>
                <w:lang w:eastAsia="en-US"/>
                <w14:ligatures w14:val="standardContextual"/>
              </w:rPr>
            </w:pPr>
            <w:r w:rsidRPr="00540706">
              <w:rPr>
                <w:rFonts w:eastAsia="Calibri"/>
                <w:kern w:val="2"/>
                <w:sz w:val="20"/>
                <w:szCs w:val="20"/>
                <w:lang w:eastAsia="en-US"/>
                <w14:ligatures w14:val="standardContextual"/>
              </w:rPr>
              <w:t>Programın yeni açılmış olması nedeniyle bu yıl öğrencilerin iş yeri eğitimine gönderilmeyeceği belirtilmiş; ilerleyen dönemlerde uygulanacak 3+1 iş yeri eğitimi modelinin etkin bir şekilde planlanmasının, sektör iş birliklerinin güçlendirilmesinin ve öğrencilerin nitelikli işletmelerde uygulama deneyimi kazanmasının program açısından önemli olduğu değerlendirilmiştir.</w:t>
            </w:r>
          </w:p>
          <w:p w14:paraId="4CDF3AC0" w14:textId="07231933" w:rsidR="005232C3" w:rsidRDefault="005232C3" w:rsidP="00540706">
            <w:pPr>
              <w:rPr>
                <w:rFonts w:eastAsia="Calibri"/>
                <w:kern w:val="2"/>
                <w:sz w:val="20"/>
                <w:szCs w:val="20"/>
                <w:lang w:eastAsia="en-US"/>
                <w14:ligatures w14:val="standardContextual"/>
              </w:rPr>
            </w:pPr>
            <w:r w:rsidRPr="005232C3">
              <w:rPr>
                <w:rFonts w:eastAsia="Calibri"/>
                <w:kern w:val="2"/>
                <w:sz w:val="20"/>
                <w:szCs w:val="20"/>
                <w:lang w:eastAsia="en-US"/>
                <w14:ligatures w14:val="standardContextual"/>
              </w:rPr>
              <w:t>Sektör-Meslek Yüksekokulu iş birliği olanaklarının, öğrencilerin mesleki gelişimi ve programın sektöre uyumu açısından önemli katkı sağlayacağı belirtilmiş; bu iş birliklerinin protokollerle desteklenmesi, teknik geziler, ortak projeler ve uzman katılımlı etkinliklerin artırılmasının uygun olduğu ifade edilmiştir</w:t>
            </w:r>
            <w:r>
              <w:rPr>
                <w:rFonts w:eastAsia="Calibri"/>
                <w:kern w:val="2"/>
                <w:sz w:val="20"/>
                <w:szCs w:val="20"/>
                <w:lang w:eastAsia="en-US"/>
                <w14:ligatures w14:val="standardContextual"/>
              </w:rPr>
              <w:t>.</w:t>
            </w:r>
          </w:p>
          <w:p w14:paraId="1526A8B6" w14:textId="77777777" w:rsidR="005232C3" w:rsidRDefault="005232C3" w:rsidP="00540706">
            <w:pPr>
              <w:rPr>
                <w:rFonts w:eastAsia="Calibri"/>
                <w:kern w:val="2"/>
                <w:sz w:val="20"/>
                <w:szCs w:val="20"/>
                <w:lang w:eastAsia="en-US"/>
                <w14:ligatures w14:val="standardContextual"/>
              </w:rPr>
            </w:pPr>
          </w:p>
          <w:p w14:paraId="4E323DC7" w14:textId="2ADDAC45" w:rsidR="00540706" w:rsidRDefault="00540706" w:rsidP="00540706">
            <w:pPr>
              <w:rPr>
                <w:rFonts w:eastAsia="Calibri"/>
                <w:kern w:val="2"/>
                <w:sz w:val="20"/>
                <w:szCs w:val="20"/>
                <w:lang w:eastAsia="en-US"/>
                <w14:ligatures w14:val="standardContextual"/>
              </w:rPr>
            </w:pPr>
            <w:r w:rsidRPr="00540706">
              <w:rPr>
                <w:rFonts w:eastAsia="Calibri"/>
                <w:kern w:val="2"/>
                <w:sz w:val="20"/>
                <w:szCs w:val="20"/>
                <w:lang w:eastAsia="en-US"/>
                <w14:ligatures w14:val="standardContextual"/>
              </w:rPr>
              <w:t>Programın kalite güvence ve akreditasyon süreçlerinin, ulusal ve uluslararası standartlara uygun olarak yürütülmesinin programın niteliğini artıracağı vurgulanmış; kalite güvence mekanizmalarının güçlendirilmesi, paydaş geri bildirimlerinin düzenli alınması ve akreditasyon süreçlerine hazırlık yapılmasının faydalı olacağı değerlendirilmiştir.</w:t>
            </w:r>
          </w:p>
          <w:p w14:paraId="3004DF05" w14:textId="77777777" w:rsidR="00540706" w:rsidRDefault="00540706" w:rsidP="00540706">
            <w:pPr>
              <w:rPr>
                <w:rFonts w:eastAsia="Calibri"/>
                <w:sz w:val="20"/>
                <w:szCs w:val="20"/>
              </w:rPr>
            </w:pPr>
          </w:p>
          <w:p w14:paraId="3F63682F" w14:textId="2E6D062B" w:rsidR="00540706" w:rsidRDefault="00895550" w:rsidP="00032E1C">
            <w:pPr>
              <w:rPr>
                <w:rFonts w:eastAsia="Calibri"/>
                <w:sz w:val="20"/>
                <w:szCs w:val="20"/>
              </w:rPr>
            </w:pPr>
            <w:r w:rsidRPr="00895550">
              <w:rPr>
                <w:rFonts w:eastAsia="Calibri"/>
                <w:sz w:val="20"/>
                <w:szCs w:val="20"/>
              </w:rPr>
              <w:t>Mezun öğrencilerin deneyimleri doğrultusunda, teorik bilginin uygulama deneyimleriyle desteklenmesinin önemli olduğu, laboratuvar ve uygulama derslerinin sahadaki teknik becerilerin kazanılmasına katkı sağladığı değerlendirilmiştir. Güncel teknolojiler</w:t>
            </w:r>
            <w:r w:rsidR="004614DF">
              <w:rPr>
                <w:rFonts w:eastAsia="Calibri"/>
                <w:sz w:val="20"/>
                <w:szCs w:val="20"/>
              </w:rPr>
              <w:t xml:space="preserve"> bakımından</w:t>
            </w:r>
            <w:r w:rsidRPr="00895550">
              <w:rPr>
                <w:rFonts w:eastAsia="Calibri"/>
                <w:sz w:val="20"/>
                <w:szCs w:val="20"/>
              </w:rPr>
              <w:t xml:space="preserve"> uygulama eksikliklerinin bulunduğu, staj ve iş yeri eğitimlerinin öğrencilerin sektöre adaptasyonunu ve mesleki iletişim becerilerini geliştirdiği belirlenmiştir. Ayrıca, sektör iş birliklerinin artırılması halinde öğrencilerin uygulama deneyimi ve mezuniyet sonrası istihdam imkanlarının güçleneceği ifade edilmiştir.</w:t>
            </w:r>
          </w:p>
          <w:p w14:paraId="1FF16BB4" w14:textId="2E12774C" w:rsidR="00540706" w:rsidRPr="00032E1C" w:rsidRDefault="00540706" w:rsidP="00032E1C">
            <w:pPr>
              <w:rPr>
                <w:rFonts w:eastAsia="Calibri"/>
              </w:rPr>
            </w:pPr>
          </w:p>
        </w:tc>
      </w:tr>
    </w:tbl>
    <w:p w14:paraId="096689EF" w14:textId="77777777" w:rsidR="004974B7" w:rsidRPr="0045181E" w:rsidRDefault="004974B7" w:rsidP="004974B7">
      <w:pPr>
        <w:pStyle w:val="msobodytextindent"/>
        <w:rPr>
          <w:szCs w:val="24"/>
        </w:rPr>
      </w:pPr>
    </w:p>
    <w:p w14:paraId="3DC64F5F" w14:textId="77777777" w:rsidR="004974B7" w:rsidRDefault="004974B7" w:rsidP="004974B7">
      <w:pPr>
        <w:pStyle w:val="msobodytextindent"/>
        <w:rPr>
          <w:szCs w:val="24"/>
        </w:rPr>
      </w:pPr>
    </w:p>
    <w:p w14:paraId="69AC1D5B" w14:textId="77777777" w:rsidR="003617F8" w:rsidRDefault="003617F8" w:rsidP="004974B7">
      <w:pPr>
        <w:pStyle w:val="msobodytextindent"/>
        <w:rPr>
          <w:szCs w:val="24"/>
        </w:rPr>
      </w:pPr>
    </w:p>
    <w:p w14:paraId="10B363DB" w14:textId="77777777" w:rsidR="003617F8" w:rsidRDefault="003617F8" w:rsidP="004974B7">
      <w:pPr>
        <w:pStyle w:val="msobodytextindent"/>
        <w:rPr>
          <w:szCs w:val="24"/>
        </w:rPr>
      </w:pPr>
    </w:p>
    <w:p w14:paraId="28983C2C" w14:textId="77777777" w:rsidR="003617F8" w:rsidRDefault="003617F8" w:rsidP="004974B7">
      <w:pPr>
        <w:pStyle w:val="msobodytextindent"/>
        <w:rPr>
          <w:szCs w:val="24"/>
        </w:rPr>
      </w:pPr>
    </w:p>
    <w:p w14:paraId="5A6889BF" w14:textId="77777777" w:rsidR="003617F8" w:rsidRDefault="003617F8" w:rsidP="004974B7">
      <w:pPr>
        <w:pStyle w:val="msobodytextindent"/>
        <w:rPr>
          <w:szCs w:val="24"/>
        </w:rPr>
      </w:pPr>
    </w:p>
    <w:p w14:paraId="04F85ED8" w14:textId="77777777" w:rsidR="003617F8" w:rsidRDefault="003617F8" w:rsidP="004974B7">
      <w:pPr>
        <w:pStyle w:val="msobodytextindent"/>
        <w:rPr>
          <w:szCs w:val="24"/>
        </w:rPr>
      </w:pPr>
    </w:p>
    <w:p w14:paraId="1292042C" w14:textId="77777777" w:rsidR="003617F8" w:rsidRDefault="003617F8" w:rsidP="004974B7">
      <w:pPr>
        <w:pStyle w:val="msobodytextindent"/>
        <w:rPr>
          <w:szCs w:val="24"/>
        </w:rPr>
      </w:pPr>
    </w:p>
    <w:p w14:paraId="2FBE76CB" w14:textId="77777777" w:rsidR="003617F8" w:rsidRPr="0045181E" w:rsidRDefault="003617F8"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45181E" w14:paraId="737388B5" w14:textId="77777777" w:rsidTr="00CC3093">
        <w:trPr>
          <w:trHeight w:val="418"/>
        </w:trPr>
        <w:tc>
          <w:tcPr>
            <w:tcW w:w="9062" w:type="dxa"/>
            <w:vAlign w:val="center"/>
          </w:tcPr>
          <w:p w14:paraId="77B84672" w14:textId="77777777" w:rsidR="004974B7" w:rsidRPr="0045181E" w:rsidRDefault="004974B7" w:rsidP="00065CF4">
            <w:pPr>
              <w:jc w:val="center"/>
              <w:rPr>
                <w:b/>
                <w:color w:val="000000" w:themeColor="text1"/>
              </w:rPr>
            </w:pPr>
            <w:r w:rsidRPr="0045181E">
              <w:rPr>
                <w:b/>
                <w:color w:val="000000" w:themeColor="text1"/>
              </w:rPr>
              <w:lastRenderedPageBreak/>
              <w:t>TOPLANTI FOTOĞRAFLARI</w:t>
            </w:r>
          </w:p>
        </w:tc>
      </w:tr>
      <w:tr w:rsidR="004974B7" w14:paraId="48ACAD46" w14:textId="77777777" w:rsidTr="00CC3093">
        <w:tc>
          <w:tcPr>
            <w:tcW w:w="9062" w:type="dxa"/>
          </w:tcPr>
          <w:p w14:paraId="32508D5A" w14:textId="77777777" w:rsidR="004974B7" w:rsidRDefault="004974B7" w:rsidP="00065CF4">
            <w:pPr>
              <w:rPr>
                <w:noProof/>
              </w:rPr>
            </w:pPr>
          </w:p>
          <w:p w14:paraId="2662105E" w14:textId="77777777" w:rsidR="009C50C6" w:rsidRDefault="009C50C6" w:rsidP="00065CF4">
            <w:pPr>
              <w:rPr>
                <w:b/>
                <w:noProof/>
                <w:color w:val="000000" w:themeColor="text1"/>
              </w:rPr>
            </w:pPr>
          </w:p>
          <w:p w14:paraId="6C6FC37C" w14:textId="03DBE80E" w:rsidR="004974B7" w:rsidRDefault="009C50C6" w:rsidP="00065CF4">
            <w:pPr>
              <w:rPr>
                <w:b/>
                <w:color w:val="000000" w:themeColor="text1"/>
              </w:rPr>
            </w:pPr>
            <w:r>
              <w:rPr>
                <w:b/>
                <w:noProof/>
                <w:color w:val="000000" w:themeColor="text1"/>
              </w:rPr>
              <w:drawing>
                <wp:inline distT="0" distB="0" distL="0" distR="0" wp14:anchorId="7943C0A7" wp14:editId="21E40EE8">
                  <wp:extent cx="5760720" cy="2662813"/>
                  <wp:effectExtent l="0" t="0" r="0" b="4445"/>
                  <wp:docPr id="187155480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554808" name="Resim 1871554808"/>
                          <pic:cNvPicPr/>
                        </pic:nvPicPr>
                        <pic:blipFill rotWithShape="1">
                          <a:blip r:embed="rId7" cstate="print">
                            <a:extLst>
                              <a:ext uri="{28A0092B-C50C-407E-A947-70E740481C1C}">
                                <a14:useLocalDpi xmlns:a14="http://schemas.microsoft.com/office/drawing/2010/main" val="0"/>
                              </a:ext>
                            </a:extLst>
                          </a:blip>
                          <a:srcRect b="38368"/>
                          <a:stretch>
                            <a:fillRect/>
                          </a:stretch>
                        </pic:blipFill>
                        <pic:spPr bwMode="auto">
                          <a:xfrm>
                            <a:off x="0" y="0"/>
                            <a:ext cx="5760720" cy="2662813"/>
                          </a:xfrm>
                          <a:prstGeom prst="rect">
                            <a:avLst/>
                          </a:prstGeom>
                          <a:ln>
                            <a:noFill/>
                          </a:ln>
                          <a:extLst>
                            <a:ext uri="{53640926-AAD7-44D8-BBD7-CCE9431645EC}">
                              <a14:shadowObscured xmlns:a14="http://schemas.microsoft.com/office/drawing/2010/main"/>
                            </a:ext>
                          </a:extLst>
                        </pic:spPr>
                      </pic:pic>
                    </a:graphicData>
                  </a:graphic>
                </wp:inline>
              </w:drawing>
            </w:r>
          </w:p>
          <w:p w14:paraId="173B1BCB" w14:textId="77777777" w:rsidR="004974B7" w:rsidRDefault="004974B7" w:rsidP="00065CF4">
            <w:pPr>
              <w:rPr>
                <w:b/>
                <w:color w:val="000000" w:themeColor="text1"/>
              </w:rPr>
            </w:pPr>
          </w:p>
          <w:p w14:paraId="1001B66B" w14:textId="77777777" w:rsidR="009C50C6" w:rsidRDefault="009C50C6" w:rsidP="00065CF4">
            <w:pPr>
              <w:rPr>
                <w:b/>
                <w:noProof/>
                <w:color w:val="000000" w:themeColor="text1"/>
              </w:rPr>
            </w:pPr>
          </w:p>
          <w:p w14:paraId="16AB6775" w14:textId="0D8DB266" w:rsidR="003617F8" w:rsidRDefault="009C50C6" w:rsidP="00065CF4">
            <w:pPr>
              <w:rPr>
                <w:b/>
                <w:color w:val="000000" w:themeColor="text1"/>
              </w:rPr>
            </w:pPr>
            <w:r>
              <w:rPr>
                <w:b/>
                <w:noProof/>
                <w:color w:val="000000" w:themeColor="text1"/>
              </w:rPr>
              <w:drawing>
                <wp:inline distT="0" distB="0" distL="0" distR="0" wp14:anchorId="537DEB98" wp14:editId="36BD9403">
                  <wp:extent cx="5760720" cy="2853731"/>
                  <wp:effectExtent l="0" t="0" r="0" b="3810"/>
                  <wp:docPr id="40618036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180364" name="Resim 406180364"/>
                          <pic:cNvPicPr/>
                        </pic:nvPicPr>
                        <pic:blipFill rotWithShape="1">
                          <a:blip r:embed="rId8" cstate="print">
                            <a:extLst>
                              <a:ext uri="{28A0092B-C50C-407E-A947-70E740481C1C}">
                                <a14:useLocalDpi xmlns:a14="http://schemas.microsoft.com/office/drawing/2010/main" val="0"/>
                              </a:ext>
                            </a:extLst>
                          </a:blip>
                          <a:srcRect b="33950"/>
                          <a:stretch>
                            <a:fillRect/>
                          </a:stretch>
                        </pic:blipFill>
                        <pic:spPr bwMode="auto">
                          <a:xfrm>
                            <a:off x="0" y="0"/>
                            <a:ext cx="5760720" cy="2853731"/>
                          </a:xfrm>
                          <a:prstGeom prst="rect">
                            <a:avLst/>
                          </a:prstGeom>
                          <a:ln>
                            <a:noFill/>
                          </a:ln>
                          <a:extLst>
                            <a:ext uri="{53640926-AAD7-44D8-BBD7-CCE9431645EC}">
                              <a14:shadowObscured xmlns:a14="http://schemas.microsoft.com/office/drawing/2010/main"/>
                            </a:ext>
                          </a:extLst>
                        </pic:spPr>
                      </pic:pic>
                    </a:graphicData>
                  </a:graphic>
                </wp:inline>
              </w:drawing>
            </w:r>
          </w:p>
        </w:tc>
      </w:tr>
    </w:tbl>
    <w:p w14:paraId="4D2690C6" w14:textId="77777777" w:rsidR="00AA67DD" w:rsidRDefault="00AA67DD" w:rsidP="00944C45">
      <w:pPr>
        <w:rPr>
          <w:rFonts w:asciiTheme="majorBidi" w:hAnsiTheme="majorBidi" w:cstheme="majorBidi"/>
        </w:rPr>
      </w:pPr>
    </w:p>
    <w:p w14:paraId="0DC01DD9" w14:textId="77777777" w:rsidR="00C703BB" w:rsidRDefault="00C703BB" w:rsidP="00AA67DD">
      <w:pPr>
        <w:ind w:firstLine="708"/>
        <w:rPr>
          <w:rFonts w:asciiTheme="majorBidi" w:hAnsiTheme="majorBidi" w:cstheme="majorBidi"/>
        </w:rPr>
      </w:pPr>
    </w:p>
    <w:p w14:paraId="08B98F11" w14:textId="77777777" w:rsidR="003617F8" w:rsidRDefault="003617F8" w:rsidP="00AA67DD">
      <w:pPr>
        <w:ind w:firstLine="708"/>
        <w:rPr>
          <w:rFonts w:asciiTheme="majorBidi" w:hAnsiTheme="majorBidi" w:cstheme="majorBidi"/>
        </w:rPr>
      </w:pPr>
    </w:p>
    <w:p w14:paraId="3B904AE0" w14:textId="77777777" w:rsidR="003617F8" w:rsidRDefault="003617F8" w:rsidP="00AA67DD">
      <w:pPr>
        <w:ind w:firstLine="708"/>
        <w:rPr>
          <w:rFonts w:asciiTheme="majorBidi" w:hAnsiTheme="majorBidi" w:cstheme="majorBidi"/>
        </w:rPr>
      </w:pPr>
    </w:p>
    <w:p w14:paraId="6033037A" w14:textId="77777777" w:rsidR="003617F8" w:rsidRDefault="003617F8" w:rsidP="00AA67DD">
      <w:pPr>
        <w:ind w:firstLine="708"/>
        <w:rPr>
          <w:rFonts w:asciiTheme="majorBidi" w:hAnsiTheme="majorBidi" w:cstheme="majorBidi"/>
        </w:rPr>
      </w:pPr>
    </w:p>
    <w:p w14:paraId="58DA6679" w14:textId="77777777" w:rsidR="009C50C6" w:rsidRDefault="009C50C6" w:rsidP="00AA67DD">
      <w:pPr>
        <w:ind w:firstLine="708"/>
        <w:rPr>
          <w:rFonts w:asciiTheme="majorBidi" w:hAnsiTheme="majorBidi" w:cstheme="majorBidi"/>
        </w:rPr>
      </w:pPr>
    </w:p>
    <w:p w14:paraId="0DA96613" w14:textId="77777777" w:rsidR="009C50C6" w:rsidRDefault="009C50C6" w:rsidP="00AA67DD">
      <w:pPr>
        <w:ind w:firstLine="708"/>
        <w:rPr>
          <w:rFonts w:asciiTheme="majorBidi" w:hAnsiTheme="majorBidi" w:cstheme="majorBidi"/>
        </w:rPr>
      </w:pPr>
    </w:p>
    <w:p w14:paraId="06AC3DCA" w14:textId="77777777" w:rsidR="003617F8" w:rsidRDefault="003617F8" w:rsidP="00AA67DD">
      <w:pPr>
        <w:ind w:firstLine="708"/>
        <w:rPr>
          <w:rFonts w:asciiTheme="majorBidi" w:hAnsiTheme="majorBidi" w:cstheme="majorBidi"/>
        </w:rPr>
      </w:pPr>
    </w:p>
    <w:p w14:paraId="43A5492E" w14:textId="77777777" w:rsidR="003617F8" w:rsidRDefault="003617F8" w:rsidP="00AA67DD">
      <w:pPr>
        <w:ind w:firstLine="708"/>
        <w:rPr>
          <w:rFonts w:asciiTheme="majorBidi" w:hAnsiTheme="majorBidi" w:cstheme="majorBidi"/>
        </w:rPr>
      </w:pPr>
    </w:p>
    <w:p w14:paraId="238031FE" w14:textId="2CA5B1D2" w:rsidR="001E11E2" w:rsidRPr="00656E17" w:rsidRDefault="00C523A3" w:rsidP="00656E17">
      <w:pPr>
        <w:ind w:firstLine="708"/>
        <w:jc w:val="center"/>
        <w:rPr>
          <w:rFonts w:asciiTheme="majorBidi" w:hAnsiTheme="majorBidi" w:cstheme="majorBidi"/>
          <w:b/>
          <w:bCs/>
        </w:rPr>
      </w:pPr>
      <w:r>
        <w:rPr>
          <w:rFonts w:eastAsia="Calibri"/>
          <w:b/>
          <w:bCs/>
          <w:sz w:val="20"/>
          <w:szCs w:val="20"/>
        </w:rPr>
        <w:lastRenderedPageBreak/>
        <w:t>Elektrik Enerjisi Üretim, İletim ve Dağıtımı</w:t>
      </w:r>
      <w:r w:rsidR="00656E17" w:rsidRPr="00656E17">
        <w:rPr>
          <w:rFonts w:eastAsia="Calibri"/>
          <w:b/>
          <w:bCs/>
          <w:sz w:val="20"/>
          <w:szCs w:val="20"/>
        </w:rPr>
        <w:t xml:space="preserve"> Program Danışman Kurulu</w:t>
      </w:r>
    </w:p>
    <w:tbl>
      <w:tblPr>
        <w:tblStyle w:val="TabloKlavuzu"/>
        <w:tblpPr w:leftFromText="141" w:rightFromText="141" w:vertAnchor="text" w:horzAnchor="margin" w:tblpY="110"/>
        <w:tblW w:w="9067" w:type="dxa"/>
        <w:tblLook w:val="04A0" w:firstRow="1" w:lastRow="0" w:firstColumn="1" w:lastColumn="0" w:noHBand="0" w:noVBand="1"/>
      </w:tblPr>
      <w:tblGrid>
        <w:gridCol w:w="3323"/>
        <w:gridCol w:w="4185"/>
        <w:gridCol w:w="1559"/>
      </w:tblGrid>
      <w:tr w:rsidR="00656E17" w14:paraId="08690DAA" w14:textId="77777777" w:rsidTr="00656E17">
        <w:trPr>
          <w:trHeight w:val="421"/>
        </w:trPr>
        <w:tc>
          <w:tcPr>
            <w:tcW w:w="3323" w:type="dxa"/>
          </w:tcPr>
          <w:p w14:paraId="6B5ECD22" w14:textId="77777777" w:rsidR="00656E17" w:rsidRPr="00755B75" w:rsidRDefault="00656E17" w:rsidP="00656E17">
            <w:pPr>
              <w:pStyle w:val="ListeParagraf"/>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Katılımcı</w:t>
            </w:r>
          </w:p>
        </w:tc>
        <w:tc>
          <w:tcPr>
            <w:tcW w:w="4185" w:type="dxa"/>
          </w:tcPr>
          <w:p w14:paraId="2EF0747C" w14:textId="77777777" w:rsidR="00656E17" w:rsidRPr="00CC3093" w:rsidRDefault="00656E17" w:rsidP="00656E17">
            <w:pPr>
              <w:pStyle w:val="ListeParagraf"/>
              <w:spacing w:after="0" w:line="240" w:lineRule="auto"/>
              <w:ind w:left="0"/>
              <w:jc w:val="center"/>
              <w:rPr>
                <w:rFonts w:ascii="Times New Roman" w:hAnsi="Times New Roman" w:cs="Times New Roman"/>
                <w:b/>
                <w:bCs/>
                <w:sz w:val="24"/>
                <w:szCs w:val="24"/>
              </w:rPr>
            </w:pPr>
            <w:r w:rsidRPr="00CC3093">
              <w:rPr>
                <w:rFonts w:asciiTheme="majorBidi" w:hAnsiTheme="majorBidi" w:cstheme="majorBidi"/>
                <w:b/>
              </w:rPr>
              <w:t>Program Danışma Kurulu</w:t>
            </w:r>
          </w:p>
        </w:tc>
        <w:tc>
          <w:tcPr>
            <w:tcW w:w="1559" w:type="dxa"/>
          </w:tcPr>
          <w:p w14:paraId="59B17883" w14:textId="77777777" w:rsidR="00656E17" w:rsidRPr="00755B75" w:rsidRDefault="00656E17" w:rsidP="00656E17">
            <w:pPr>
              <w:pStyle w:val="ListeParagraf"/>
              <w:spacing w:after="0" w:line="240" w:lineRule="auto"/>
              <w:ind w:left="0"/>
              <w:jc w:val="center"/>
              <w:rPr>
                <w:rFonts w:ascii="Times New Roman" w:hAnsi="Times New Roman" w:cs="Times New Roman"/>
                <w:b/>
                <w:bCs/>
                <w:sz w:val="24"/>
                <w:szCs w:val="24"/>
              </w:rPr>
            </w:pPr>
            <w:r w:rsidRPr="00755B75">
              <w:rPr>
                <w:rFonts w:ascii="Times New Roman" w:hAnsi="Times New Roman" w:cs="Times New Roman"/>
                <w:b/>
                <w:bCs/>
                <w:sz w:val="24"/>
                <w:szCs w:val="24"/>
              </w:rPr>
              <w:t>İmza</w:t>
            </w:r>
          </w:p>
        </w:tc>
      </w:tr>
      <w:tr w:rsidR="00656E17" w14:paraId="3B4DA62A" w14:textId="77777777" w:rsidTr="00656E17">
        <w:trPr>
          <w:trHeight w:val="421"/>
        </w:trPr>
        <w:tc>
          <w:tcPr>
            <w:tcW w:w="3323" w:type="dxa"/>
          </w:tcPr>
          <w:p w14:paraId="413DDE97" w14:textId="6FE9DDD0" w:rsidR="00656E17" w:rsidRPr="00CE7865" w:rsidRDefault="00C523A3" w:rsidP="00656E17">
            <w:r>
              <w:t>Fatih YOLDAŞ</w:t>
            </w:r>
          </w:p>
        </w:tc>
        <w:tc>
          <w:tcPr>
            <w:tcW w:w="4185" w:type="dxa"/>
          </w:tcPr>
          <w:p w14:paraId="7D912AA8" w14:textId="77777777" w:rsidR="00656E17" w:rsidRPr="00275922" w:rsidRDefault="00656E17" w:rsidP="00656E17">
            <w:pPr>
              <w:jc w:val="left"/>
            </w:pPr>
            <w:r>
              <w:t>Başkan</w:t>
            </w:r>
          </w:p>
        </w:tc>
        <w:tc>
          <w:tcPr>
            <w:tcW w:w="1559" w:type="dxa"/>
          </w:tcPr>
          <w:p w14:paraId="451E6D23" w14:textId="77777777" w:rsidR="00656E17" w:rsidRDefault="00656E17" w:rsidP="00656E17">
            <w:pPr>
              <w:pStyle w:val="Liste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Katıldı</w:t>
            </w:r>
          </w:p>
        </w:tc>
      </w:tr>
      <w:tr w:rsidR="00656E17" w14:paraId="2672858B" w14:textId="77777777" w:rsidTr="00656E17">
        <w:trPr>
          <w:trHeight w:val="421"/>
        </w:trPr>
        <w:tc>
          <w:tcPr>
            <w:tcW w:w="3323" w:type="dxa"/>
          </w:tcPr>
          <w:p w14:paraId="2CEC79EB" w14:textId="5AE24CE1" w:rsidR="00656E17" w:rsidRPr="00AA67DD" w:rsidRDefault="00C523A3" w:rsidP="00656E17">
            <w:r>
              <w:t>Mustafa AYAN</w:t>
            </w:r>
          </w:p>
        </w:tc>
        <w:tc>
          <w:tcPr>
            <w:tcW w:w="4185" w:type="dxa"/>
          </w:tcPr>
          <w:p w14:paraId="070DEBFD" w14:textId="77777777" w:rsidR="00656E17" w:rsidRPr="00275922" w:rsidRDefault="00656E17" w:rsidP="00656E17">
            <w:pPr>
              <w:jc w:val="left"/>
            </w:pPr>
            <w:r>
              <w:t>Üye</w:t>
            </w:r>
          </w:p>
        </w:tc>
        <w:tc>
          <w:tcPr>
            <w:tcW w:w="1559" w:type="dxa"/>
          </w:tcPr>
          <w:p w14:paraId="3C23048E" w14:textId="77777777" w:rsidR="00656E17" w:rsidRDefault="00656E17" w:rsidP="00656E17">
            <w:pPr>
              <w:pStyle w:val="Liste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Katıldı</w:t>
            </w:r>
          </w:p>
        </w:tc>
      </w:tr>
      <w:tr w:rsidR="00656E17" w14:paraId="3CECCD76" w14:textId="77777777" w:rsidTr="00656E17">
        <w:trPr>
          <w:trHeight w:val="421"/>
        </w:trPr>
        <w:tc>
          <w:tcPr>
            <w:tcW w:w="3323" w:type="dxa"/>
          </w:tcPr>
          <w:p w14:paraId="1279E3B1" w14:textId="28A6341E" w:rsidR="00656E17" w:rsidRPr="00AA67DD" w:rsidRDefault="00C523A3" w:rsidP="00656E17">
            <w:r>
              <w:t>Ali Alper YARIŞ</w:t>
            </w:r>
          </w:p>
        </w:tc>
        <w:tc>
          <w:tcPr>
            <w:tcW w:w="4185" w:type="dxa"/>
          </w:tcPr>
          <w:p w14:paraId="6920A7A2" w14:textId="70C2A5EC" w:rsidR="00656E17" w:rsidRDefault="00C523A3" w:rsidP="00656E17">
            <w:pPr>
              <w:jc w:val="left"/>
            </w:pPr>
            <w:r>
              <w:t>Üye</w:t>
            </w:r>
          </w:p>
        </w:tc>
        <w:tc>
          <w:tcPr>
            <w:tcW w:w="1559" w:type="dxa"/>
          </w:tcPr>
          <w:p w14:paraId="24CBE3BF" w14:textId="77777777" w:rsidR="00656E17" w:rsidRDefault="00656E17" w:rsidP="00656E17">
            <w:pPr>
              <w:pStyle w:val="Liste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Katıldı</w:t>
            </w:r>
          </w:p>
        </w:tc>
      </w:tr>
      <w:tr w:rsidR="00656E17" w14:paraId="432568D6" w14:textId="77777777" w:rsidTr="00656E17">
        <w:trPr>
          <w:trHeight w:val="421"/>
        </w:trPr>
        <w:tc>
          <w:tcPr>
            <w:tcW w:w="3323" w:type="dxa"/>
          </w:tcPr>
          <w:p w14:paraId="6392EEBF" w14:textId="3612E9CE" w:rsidR="00656E17" w:rsidRPr="00AA67DD" w:rsidRDefault="00C523A3" w:rsidP="00656E17">
            <w:r>
              <w:t>Kerem HACIHALİLOĞLU</w:t>
            </w:r>
          </w:p>
        </w:tc>
        <w:tc>
          <w:tcPr>
            <w:tcW w:w="4185" w:type="dxa"/>
          </w:tcPr>
          <w:p w14:paraId="16DE0F26" w14:textId="77777777" w:rsidR="00656E17" w:rsidRPr="00275922" w:rsidRDefault="00656E17" w:rsidP="00656E17">
            <w:pPr>
              <w:jc w:val="left"/>
            </w:pPr>
            <w:r>
              <w:t>Mezun Öğrenci</w:t>
            </w:r>
          </w:p>
        </w:tc>
        <w:tc>
          <w:tcPr>
            <w:tcW w:w="1559" w:type="dxa"/>
          </w:tcPr>
          <w:p w14:paraId="5FF7DEA6" w14:textId="77777777" w:rsidR="00656E17" w:rsidRDefault="00656E17" w:rsidP="00656E17">
            <w:pPr>
              <w:pStyle w:val="Liste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Katıldı</w:t>
            </w:r>
          </w:p>
        </w:tc>
      </w:tr>
      <w:tr w:rsidR="00656E17" w14:paraId="0B8846B6" w14:textId="77777777" w:rsidTr="00656E17">
        <w:trPr>
          <w:trHeight w:val="421"/>
        </w:trPr>
        <w:tc>
          <w:tcPr>
            <w:tcW w:w="3323" w:type="dxa"/>
          </w:tcPr>
          <w:p w14:paraId="0D33AE1D" w14:textId="0BF4DC71" w:rsidR="00656E17" w:rsidRPr="00AA67DD" w:rsidRDefault="00C523A3" w:rsidP="00656E17">
            <w:r>
              <w:t>Tunahan YAMANER</w:t>
            </w:r>
          </w:p>
        </w:tc>
        <w:tc>
          <w:tcPr>
            <w:tcW w:w="4185" w:type="dxa"/>
          </w:tcPr>
          <w:p w14:paraId="12AB563F" w14:textId="071D1C2D" w:rsidR="00656E17" w:rsidRPr="00275922" w:rsidRDefault="00C523A3" w:rsidP="00656E17">
            <w:pPr>
              <w:jc w:val="left"/>
            </w:pPr>
            <w:r>
              <w:t>Sektör Temsilcisi</w:t>
            </w:r>
          </w:p>
        </w:tc>
        <w:tc>
          <w:tcPr>
            <w:tcW w:w="1559" w:type="dxa"/>
          </w:tcPr>
          <w:p w14:paraId="52185BD8" w14:textId="77777777" w:rsidR="00656E17" w:rsidRDefault="00656E17" w:rsidP="00656E17">
            <w:pPr>
              <w:pStyle w:val="Liste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Katıldı</w:t>
            </w:r>
          </w:p>
        </w:tc>
      </w:tr>
      <w:tr w:rsidR="00656E17" w14:paraId="23A0943E" w14:textId="77777777" w:rsidTr="00656E17">
        <w:trPr>
          <w:trHeight w:val="421"/>
        </w:trPr>
        <w:tc>
          <w:tcPr>
            <w:tcW w:w="3323" w:type="dxa"/>
          </w:tcPr>
          <w:p w14:paraId="060D7469" w14:textId="0C611F23" w:rsidR="00656E17" w:rsidRPr="00CE7865" w:rsidRDefault="00C523A3" w:rsidP="00656E17">
            <w:r>
              <w:t>Veysel ÖZ</w:t>
            </w:r>
          </w:p>
        </w:tc>
        <w:tc>
          <w:tcPr>
            <w:tcW w:w="4185" w:type="dxa"/>
          </w:tcPr>
          <w:p w14:paraId="4D378DC6" w14:textId="77777777" w:rsidR="00656E17" w:rsidRPr="00275922" w:rsidRDefault="00656E17" w:rsidP="00656E17">
            <w:pPr>
              <w:jc w:val="left"/>
            </w:pPr>
            <w:r>
              <w:t>Öğrenci</w:t>
            </w:r>
          </w:p>
        </w:tc>
        <w:tc>
          <w:tcPr>
            <w:tcW w:w="1559" w:type="dxa"/>
          </w:tcPr>
          <w:p w14:paraId="6746D685" w14:textId="77777777" w:rsidR="00656E17" w:rsidRDefault="00656E17" w:rsidP="00656E17">
            <w:pPr>
              <w:pStyle w:val="ListeParagra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Katıldı</w:t>
            </w:r>
          </w:p>
        </w:tc>
      </w:tr>
    </w:tbl>
    <w:p w14:paraId="4380CCB0" w14:textId="77777777" w:rsidR="000A321F" w:rsidRPr="008F6696" w:rsidRDefault="000A321F" w:rsidP="00656E17">
      <w:pPr>
        <w:tabs>
          <w:tab w:val="left" w:pos="930"/>
        </w:tabs>
      </w:pPr>
    </w:p>
    <w:sectPr w:rsidR="000A321F" w:rsidRPr="008F669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909B5" w14:textId="77777777" w:rsidR="00B24D92" w:rsidRDefault="00B24D92" w:rsidP="004974B7">
      <w:r>
        <w:separator/>
      </w:r>
    </w:p>
  </w:endnote>
  <w:endnote w:type="continuationSeparator" w:id="0">
    <w:p w14:paraId="2C93D026" w14:textId="77777777" w:rsidR="00B24D92" w:rsidRDefault="00B24D92"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463368"/>
      <w:docPartObj>
        <w:docPartGallery w:val="Page Numbers (Bottom of Page)"/>
        <w:docPartUnique/>
      </w:docPartObj>
    </w:sdtPr>
    <w:sdtEndPr/>
    <w:sdtContent>
      <w:p w14:paraId="21D445CB" w14:textId="74385848" w:rsidR="00AE4702" w:rsidRDefault="00AE4702">
        <w:pPr>
          <w:pStyle w:val="AltBilgi"/>
          <w:jc w:val="center"/>
        </w:pPr>
        <w:r>
          <w:fldChar w:fldCharType="begin"/>
        </w:r>
        <w:r>
          <w:instrText>PAGE   \* MERGEFORMAT</w:instrText>
        </w:r>
        <w:r>
          <w:fldChar w:fldCharType="separate"/>
        </w:r>
        <w:r w:rsidR="00211671">
          <w:rPr>
            <w:noProof/>
          </w:rPr>
          <w:t>2</w:t>
        </w:r>
        <w:r>
          <w:fldChar w:fldCharType="end"/>
        </w:r>
      </w:p>
    </w:sdtContent>
  </w:sdt>
  <w:p w14:paraId="678634B7" w14:textId="77777777" w:rsidR="00AE4702" w:rsidRDefault="00AE470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0DD4D" w14:textId="77777777" w:rsidR="00B24D92" w:rsidRDefault="00B24D92" w:rsidP="004974B7">
      <w:r>
        <w:separator/>
      </w:r>
    </w:p>
  </w:footnote>
  <w:footnote w:type="continuationSeparator" w:id="0">
    <w:p w14:paraId="5E1101EA" w14:textId="77777777" w:rsidR="00B24D92" w:rsidRDefault="00B24D92" w:rsidP="004974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956"/>
      <w:gridCol w:w="3521"/>
      <w:gridCol w:w="1963"/>
      <w:gridCol w:w="1622"/>
    </w:tblGrid>
    <w:tr w:rsidR="005642FB" w14:paraId="636EA0C6" w14:textId="77777777" w:rsidTr="00F30B17">
      <w:tc>
        <w:tcPr>
          <w:tcW w:w="1413" w:type="dxa"/>
          <w:vMerge w:val="restart"/>
          <w:vAlign w:val="center"/>
        </w:tcPr>
        <w:p w14:paraId="56B86A55" w14:textId="77777777" w:rsidR="005642FB" w:rsidRDefault="00A360C4" w:rsidP="00DD077F">
          <w:pPr>
            <w:pStyle w:val="stBilgi"/>
            <w:jc w:val="center"/>
          </w:pPr>
          <w:r>
            <w:rPr>
              <w:noProof/>
            </w:rPr>
            <w:drawing>
              <wp:inline distT="0" distB="0" distL="0" distR="0" wp14:anchorId="625680E1" wp14:editId="2B9B1660">
                <wp:extent cx="1095853" cy="438150"/>
                <wp:effectExtent l="0" t="0" r="9525" b="0"/>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3827" w:type="dxa"/>
          <w:vMerge w:val="restart"/>
          <w:vAlign w:val="center"/>
        </w:tcPr>
        <w:p w14:paraId="7BD433C4" w14:textId="77777777" w:rsidR="005642FB" w:rsidRPr="004272E5" w:rsidRDefault="00CA5966" w:rsidP="001E11E2">
          <w:pPr>
            <w:pStyle w:val="stBilgi"/>
            <w:jc w:val="center"/>
            <w:rPr>
              <w:b/>
              <w:sz w:val="22"/>
            </w:rPr>
          </w:pPr>
          <w:r>
            <w:rPr>
              <w:b/>
              <w:sz w:val="22"/>
            </w:rPr>
            <w:t>BURDUR MEHMET AKİF ERSOY</w:t>
          </w:r>
          <w:r w:rsidR="005642FB" w:rsidRPr="004272E5">
            <w:rPr>
              <w:b/>
              <w:sz w:val="22"/>
            </w:rPr>
            <w:t xml:space="preserve"> ÜNİVERSİTESİ</w:t>
          </w:r>
        </w:p>
        <w:p w14:paraId="16D2CDD5" w14:textId="73CA8462" w:rsidR="005642FB" w:rsidRPr="004272E5" w:rsidRDefault="001E11E2" w:rsidP="001E11E2">
          <w:pPr>
            <w:pStyle w:val="stBilgi"/>
            <w:jc w:val="center"/>
            <w:rPr>
              <w:b/>
              <w:sz w:val="22"/>
            </w:rPr>
          </w:pPr>
          <w:r>
            <w:rPr>
              <w:b/>
              <w:sz w:val="22"/>
            </w:rPr>
            <w:t>BUCAK EMİN GÜLMEZ TEKNİK BİLİMLER MYO</w:t>
          </w:r>
          <w:r w:rsidR="005642FB" w:rsidRPr="004272E5">
            <w:rPr>
              <w:b/>
              <w:sz w:val="22"/>
            </w:rPr>
            <w:t xml:space="preserve"> </w:t>
          </w:r>
          <w:r w:rsidR="002C0526">
            <w:rPr>
              <w:b/>
              <w:sz w:val="22"/>
            </w:rPr>
            <w:t>(Elektrik ve Enerji Bölümü</w:t>
          </w:r>
          <w:r w:rsidR="005642FB" w:rsidRPr="004272E5">
            <w:rPr>
              <w:b/>
              <w:sz w:val="22"/>
            </w:rPr>
            <w:t>)</w:t>
          </w:r>
        </w:p>
        <w:p w14:paraId="302F1FF3" w14:textId="77777777" w:rsidR="005642FB" w:rsidRPr="004272E5" w:rsidRDefault="005642FB" w:rsidP="001E11E2">
          <w:pPr>
            <w:pStyle w:val="stBilgi"/>
            <w:jc w:val="center"/>
            <w:rPr>
              <w:b/>
              <w:sz w:val="22"/>
            </w:rPr>
          </w:pPr>
          <w:r w:rsidRPr="004272E5">
            <w:rPr>
              <w:b/>
              <w:sz w:val="22"/>
            </w:rPr>
            <w:t>TOPLANTI TUTANAĞI</w:t>
          </w:r>
        </w:p>
      </w:tc>
      <w:tc>
        <w:tcPr>
          <w:tcW w:w="2126" w:type="dxa"/>
          <w:vAlign w:val="center"/>
        </w:tcPr>
        <w:p w14:paraId="1AE97044" w14:textId="77777777" w:rsidR="005642FB" w:rsidRPr="004272E5" w:rsidRDefault="005642FB" w:rsidP="00DD077F">
          <w:pPr>
            <w:pStyle w:val="stBilgi"/>
            <w:jc w:val="center"/>
            <w:rPr>
              <w:sz w:val="22"/>
            </w:rPr>
          </w:pPr>
          <w:r w:rsidRPr="004272E5">
            <w:rPr>
              <w:sz w:val="22"/>
            </w:rPr>
            <w:t>Toplantı No</w:t>
          </w:r>
        </w:p>
      </w:tc>
      <w:tc>
        <w:tcPr>
          <w:tcW w:w="1696" w:type="dxa"/>
          <w:vAlign w:val="center"/>
        </w:tcPr>
        <w:p w14:paraId="0884A305" w14:textId="69DB7E8D" w:rsidR="005642FB" w:rsidRPr="004272E5" w:rsidRDefault="00AA67DD" w:rsidP="00DD077F">
          <w:pPr>
            <w:pStyle w:val="stBilgi"/>
            <w:jc w:val="center"/>
            <w:rPr>
              <w:sz w:val="22"/>
            </w:rPr>
          </w:pPr>
          <w:r>
            <w:rPr>
              <w:sz w:val="22"/>
            </w:rPr>
            <w:t>1</w:t>
          </w:r>
        </w:p>
      </w:tc>
    </w:tr>
    <w:tr w:rsidR="005642FB" w14:paraId="0F205F45" w14:textId="77777777" w:rsidTr="00F30B17">
      <w:tc>
        <w:tcPr>
          <w:tcW w:w="1413" w:type="dxa"/>
          <w:vMerge/>
          <w:vAlign w:val="center"/>
        </w:tcPr>
        <w:p w14:paraId="261AC158" w14:textId="77777777" w:rsidR="005642FB" w:rsidRDefault="005642FB" w:rsidP="00DD077F">
          <w:pPr>
            <w:pStyle w:val="stBilgi"/>
            <w:jc w:val="center"/>
          </w:pPr>
        </w:p>
      </w:tc>
      <w:tc>
        <w:tcPr>
          <w:tcW w:w="3827" w:type="dxa"/>
          <w:vMerge/>
          <w:vAlign w:val="center"/>
        </w:tcPr>
        <w:p w14:paraId="6B7818A5" w14:textId="77777777" w:rsidR="005642FB" w:rsidRPr="004272E5" w:rsidRDefault="005642FB" w:rsidP="00DD077F">
          <w:pPr>
            <w:pStyle w:val="stBilgi"/>
            <w:jc w:val="center"/>
            <w:rPr>
              <w:sz w:val="22"/>
            </w:rPr>
          </w:pPr>
        </w:p>
      </w:tc>
      <w:tc>
        <w:tcPr>
          <w:tcW w:w="2126" w:type="dxa"/>
          <w:vAlign w:val="center"/>
        </w:tcPr>
        <w:p w14:paraId="79565D4F" w14:textId="77777777" w:rsidR="005642FB" w:rsidRPr="004272E5" w:rsidRDefault="005642FB" w:rsidP="00DD077F">
          <w:pPr>
            <w:pStyle w:val="stBilgi"/>
            <w:jc w:val="center"/>
            <w:rPr>
              <w:sz w:val="22"/>
            </w:rPr>
          </w:pPr>
          <w:r w:rsidRPr="004272E5">
            <w:rPr>
              <w:sz w:val="22"/>
            </w:rPr>
            <w:t>Toplantı Tarihi</w:t>
          </w:r>
        </w:p>
      </w:tc>
      <w:tc>
        <w:tcPr>
          <w:tcW w:w="1696" w:type="dxa"/>
          <w:vAlign w:val="center"/>
        </w:tcPr>
        <w:p w14:paraId="0146AB25" w14:textId="0CA0ED24" w:rsidR="005642FB" w:rsidRPr="004272E5" w:rsidRDefault="00656E17" w:rsidP="00DD077F">
          <w:pPr>
            <w:pStyle w:val="stBilgi"/>
            <w:jc w:val="center"/>
            <w:rPr>
              <w:sz w:val="22"/>
            </w:rPr>
          </w:pPr>
          <w:r>
            <w:rPr>
              <w:sz w:val="22"/>
            </w:rPr>
            <w:t>20.11.2025</w:t>
          </w:r>
        </w:p>
      </w:tc>
    </w:tr>
    <w:tr w:rsidR="005642FB" w14:paraId="2C9B7BF3" w14:textId="77777777" w:rsidTr="00F30B17">
      <w:tc>
        <w:tcPr>
          <w:tcW w:w="1413" w:type="dxa"/>
          <w:vMerge/>
          <w:vAlign w:val="center"/>
        </w:tcPr>
        <w:p w14:paraId="67F38FB7" w14:textId="77777777" w:rsidR="005642FB" w:rsidRDefault="005642FB" w:rsidP="00DD077F">
          <w:pPr>
            <w:pStyle w:val="stBilgi"/>
            <w:jc w:val="center"/>
          </w:pPr>
        </w:p>
      </w:tc>
      <w:tc>
        <w:tcPr>
          <w:tcW w:w="3827" w:type="dxa"/>
          <w:vMerge/>
          <w:vAlign w:val="center"/>
        </w:tcPr>
        <w:p w14:paraId="05DD46EC" w14:textId="77777777" w:rsidR="005642FB" w:rsidRPr="004272E5" w:rsidRDefault="005642FB" w:rsidP="00DD077F">
          <w:pPr>
            <w:pStyle w:val="stBilgi"/>
            <w:jc w:val="center"/>
            <w:rPr>
              <w:sz w:val="22"/>
            </w:rPr>
          </w:pPr>
        </w:p>
      </w:tc>
      <w:tc>
        <w:tcPr>
          <w:tcW w:w="2126" w:type="dxa"/>
          <w:vAlign w:val="center"/>
        </w:tcPr>
        <w:p w14:paraId="14F68907" w14:textId="77777777" w:rsidR="005642FB" w:rsidRPr="004272E5" w:rsidRDefault="005642FB" w:rsidP="00DD077F">
          <w:pPr>
            <w:pStyle w:val="stBilgi"/>
            <w:jc w:val="center"/>
            <w:rPr>
              <w:sz w:val="22"/>
            </w:rPr>
          </w:pPr>
          <w:r w:rsidRPr="004272E5">
            <w:rPr>
              <w:sz w:val="22"/>
            </w:rPr>
            <w:t>Toplantı Yeri</w:t>
          </w:r>
        </w:p>
      </w:tc>
      <w:tc>
        <w:tcPr>
          <w:tcW w:w="1696" w:type="dxa"/>
          <w:vAlign w:val="center"/>
        </w:tcPr>
        <w:p w14:paraId="50F39B59" w14:textId="04A5DB52" w:rsidR="005642FB" w:rsidRPr="004272E5" w:rsidRDefault="00AA67DD" w:rsidP="00DD077F">
          <w:pPr>
            <w:pStyle w:val="stBilgi"/>
            <w:jc w:val="center"/>
            <w:rPr>
              <w:sz w:val="22"/>
            </w:rPr>
          </w:pPr>
          <w:r>
            <w:rPr>
              <w:sz w:val="22"/>
            </w:rPr>
            <w:t>Online</w:t>
          </w:r>
        </w:p>
      </w:tc>
    </w:tr>
    <w:tr w:rsidR="005642FB" w14:paraId="4D6FC3C3" w14:textId="77777777" w:rsidTr="00F30B17">
      <w:tc>
        <w:tcPr>
          <w:tcW w:w="1413" w:type="dxa"/>
          <w:vMerge/>
          <w:vAlign w:val="center"/>
        </w:tcPr>
        <w:p w14:paraId="63EEF237" w14:textId="77777777" w:rsidR="005642FB" w:rsidRDefault="005642FB" w:rsidP="00DD077F">
          <w:pPr>
            <w:pStyle w:val="stBilgi"/>
            <w:jc w:val="center"/>
          </w:pPr>
        </w:p>
      </w:tc>
      <w:tc>
        <w:tcPr>
          <w:tcW w:w="3827" w:type="dxa"/>
          <w:vMerge/>
          <w:vAlign w:val="center"/>
        </w:tcPr>
        <w:p w14:paraId="60CF191F" w14:textId="77777777" w:rsidR="005642FB" w:rsidRPr="004272E5" w:rsidRDefault="005642FB" w:rsidP="00DD077F">
          <w:pPr>
            <w:pStyle w:val="stBilgi"/>
            <w:jc w:val="center"/>
            <w:rPr>
              <w:sz w:val="22"/>
            </w:rPr>
          </w:pPr>
        </w:p>
      </w:tc>
      <w:tc>
        <w:tcPr>
          <w:tcW w:w="2126" w:type="dxa"/>
          <w:vAlign w:val="center"/>
        </w:tcPr>
        <w:p w14:paraId="04039EBF" w14:textId="77777777" w:rsidR="005642FB" w:rsidRPr="004272E5" w:rsidRDefault="005642FB" w:rsidP="00DD077F">
          <w:pPr>
            <w:pStyle w:val="stBilgi"/>
            <w:jc w:val="center"/>
            <w:rPr>
              <w:sz w:val="22"/>
            </w:rPr>
          </w:pPr>
          <w:r>
            <w:rPr>
              <w:sz w:val="22"/>
            </w:rPr>
            <w:t>Katılımcı Sayısı</w:t>
          </w:r>
        </w:p>
      </w:tc>
      <w:tc>
        <w:tcPr>
          <w:tcW w:w="1696" w:type="dxa"/>
          <w:vAlign w:val="center"/>
        </w:tcPr>
        <w:p w14:paraId="19EDA8C1" w14:textId="774ACBF2" w:rsidR="005642FB" w:rsidRPr="004272E5" w:rsidRDefault="00656E17" w:rsidP="00DD077F">
          <w:pPr>
            <w:pStyle w:val="stBilgi"/>
            <w:jc w:val="center"/>
            <w:rPr>
              <w:sz w:val="22"/>
            </w:rPr>
          </w:pPr>
          <w:r>
            <w:rPr>
              <w:sz w:val="22"/>
            </w:rPr>
            <w:t>6</w:t>
          </w:r>
        </w:p>
      </w:tc>
    </w:tr>
  </w:tbl>
  <w:p w14:paraId="53B5ECE6" w14:textId="77777777" w:rsidR="004974B7" w:rsidRDefault="004974B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2053"/>
    <w:multiLevelType w:val="hybridMultilevel"/>
    <w:tmpl w:val="76DA00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C6525D"/>
    <w:multiLevelType w:val="hybridMultilevel"/>
    <w:tmpl w:val="0AD4CE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3D70DB"/>
    <w:multiLevelType w:val="hybridMultilevel"/>
    <w:tmpl w:val="B0B824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3243C6"/>
    <w:multiLevelType w:val="hybridMultilevel"/>
    <w:tmpl w:val="4B6A7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C46A33"/>
    <w:multiLevelType w:val="hybridMultilevel"/>
    <w:tmpl w:val="91969948"/>
    <w:lvl w:ilvl="0" w:tplc="DCF061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3423341"/>
    <w:multiLevelType w:val="hybridMultilevel"/>
    <w:tmpl w:val="E6BEBD96"/>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AE51CDD"/>
    <w:multiLevelType w:val="hybridMultilevel"/>
    <w:tmpl w:val="244E2B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0307531"/>
    <w:multiLevelType w:val="hybridMultilevel"/>
    <w:tmpl w:val="5B764F3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8"/>
  </w:num>
  <w:num w:numId="2">
    <w:abstractNumId w:val="0"/>
  </w:num>
  <w:num w:numId="3">
    <w:abstractNumId w:val="4"/>
  </w:num>
  <w:num w:numId="4">
    <w:abstractNumId w:val="1"/>
  </w:num>
  <w:num w:numId="5">
    <w:abstractNumId w:val="6"/>
  </w:num>
  <w:num w:numId="6">
    <w:abstractNumId w:val="7"/>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56"/>
    <w:rsid w:val="00001AEC"/>
    <w:rsid w:val="0000337B"/>
    <w:rsid w:val="00032E1C"/>
    <w:rsid w:val="00067951"/>
    <w:rsid w:val="000A321F"/>
    <w:rsid w:val="000B50BA"/>
    <w:rsid w:val="000B694E"/>
    <w:rsid w:val="00107289"/>
    <w:rsid w:val="00142694"/>
    <w:rsid w:val="00171816"/>
    <w:rsid w:val="00173D26"/>
    <w:rsid w:val="00174935"/>
    <w:rsid w:val="001752AC"/>
    <w:rsid w:val="0019063C"/>
    <w:rsid w:val="00194BAF"/>
    <w:rsid w:val="001A18E8"/>
    <w:rsid w:val="001C6EB5"/>
    <w:rsid w:val="001E11E2"/>
    <w:rsid w:val="001F6FB5"/>
    <w:rsid w:val="00211671"/>
    <w:rsid w:val="00243BB4"/>
    <w:rsid w:val="002B1DE4"/>
    <w:rsid w:val="002C0526"/>
    <w:rsid w:val="002C24CB"/>
    <w:rsid w:val="002C5A40"/>
    <w:rsid w:val="00307678"/>
    <w:rsid w:val="00325EBB"/>
    <w:rsid w:val="003300AD"/>
    <w:rsid w:val="00350573"/>
    <w:rsid w:val="003617F8"/>
    <w:rsid w:val="00373A1C"/>
    <w:rsid w:val="00380B9B"/>
    <w:rsid w:val="003B4E05"/>
    <w:rsid w:val="003D27DC"/>
    <w:rsid w:val="003D7869"/>
    <w:rsid w:val="003E48C9"/>
    <w:rsid w:val="003F6BB1"/>
    <w:rsid w:val="00426EC0"/>
    <w:rsid w:val="004272E5"/>
    <w:rsid w:val="004571A4"/>
    <w:rsid w:val="004614DF"/>
    <w:rsid w:val="00470065"/>
    <w:rsid w:val="004974B7"/>
    <w:rsid w:val="004C5908"/>
    <w:rsid w:val="004D62C9"/>
    <w:rsid w:val="004F299B"/>
    <w:rsid w:val="005227E8"/>
    <w:rsid w:val="005232C3"/>
    <w:rsid w:val="00540706"/>
    <w:rsid w:val="005642FB"/>
    <w:rsid w:val="005A44F8"/>
    <w:rsid w:val="005D7159"/>
    <w:rsid w:val="00656E17"/>
    <w:rsid w:val="00671C6A"/>
    <w:rsid w:val="006C76DC"/>
    <w:rsid w:val="006D0499"/>
    <w:rsid w:val="006E4BA4"/>
    <w:rsid w:val="00750E3C"/>
    <w:rsid w:val="007A0777"/>
    <w:rsid w:val="007B1578"/>
    <w:rsid w:val="007C2FD6"/>
    <w:rsid w:val="007E4869"/>
    <w:rsid w:val="007F197F"/>
    <w:rsid w:val="007F4C40"/>
    <w:rsid w:val="00823291"/>
    <w:rsid w:val="00827877"/>
    <w:rsid w:val="00835FBA"/>
    <w:rsid w:val="00853D96"/>
    <w:rsid w:val="0086648D"/>
    <w:rsid w:val="00871338"/>
    <w:rsid w:val="00872752"/>
    <w:rsid w:val="00886CD1"/>
    <w:rsid w:val="00895550"/>
    <w:rsid w:val="008E159D"/>
    <w:rsid w:val="008F24D9"/>
    <w:rsid w:val="008F2C02"/>
    <w:rsid w:val="008F6696"/>
    <w:rsid w:val="00921D4D"/>
    <w:rsid w:val="00944C45"/>
    <w:rsid w:val="0097198A"/>
    <w:rsid w:val="00973DFA"/>
    <w:rsid w:val="009C50C6"/>
    <w:rsid w:val="009E5010"/>
    <w:rsid w:val="009E610C"/>
    <w:rsid w:val="00A203CC"/>
    <w:rsid w:val="00A360C4"/>
    <w:rsid w:val="00AA67DD"/>
    <w:rsid w:val="00AD4FDD"/>
    <w:rsid w:val="00AE4702"/>
    <w:rsid w:val="00AF5E44"/>
    <w:rsid w:val="00B06C97"/>
    <w:rsid w:val="00B24D92"/>
    <w:rsid w:val="00B27B0B"/>
    <w:rsid w:val="00B338B3"/>
    <w:rsid w:val="00B40BE1"/>
    <w:rsid w:val="00BA1EE0"/>
    <w:rsid w:val="00BE6A82"/>
    <w:rsid w:val="00C11CF3"/>
    <w:rsid w:val="00C523A3"/>
    <w:rsid w:val="00C703BB"/>
    <w:rsid w:val="00C73D2A"/>
    <w:rsid w:val="00CA5966"/>
    <w:rsid w:val="00CB0FF3"/>
    <w:rsid w:val="00CC3093"/>
    <w:rsid w:val="00D24364"/>
    <w:rsid w:val="00D314C2"/>
    <w:rsid w:val="00D443F2"/>
    <w:rsid w:val="00D4603F"/>
    <w:rsid w:val="00DA64B6"/>
    <w:rsid w:val="00DD077F"/>
    <w:rsid w:val="00E77F56"/>
    <w:rsid w:val="00E84EE2"/>
    <w:rsid w:val="00EA4727"/>
    <w:rsid w:val="00EB2B92"/>
    <w:rsid w:val="00EB4539"/>
    <w:rsid w:val="00ED564B"/>
    <w:rsid w:val="00EE0BAE"/>
    <w:rsid w:val="00EE3E83"/>
    <w:rsid w:val="00F0314E"/>
    <w:rsid w:val="00F05158"/>
    <w:rsid w:val="00F30B17"/>
    <w:rsid w:val="00F30C95"/>
    <w:rsid w:val="00F32747"/>
    <w:rsid w:val="00F36F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61715"/>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3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E11E2"/>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paragraph" w:styleId="BalonMetni">
    <w:name w:val="Balloon Text"/>
    <w:basedOn w:val="Normal"/>
    <w:link w:val="BalonMetniChar"/>
    <w:uiPriority w:val="99"/>
    <w:semiHidden/>
    <w:unhideWhenUsed/>
    <w:rsid w:val="00CB0FF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B0FF3"/>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471</Words>
  <Characters>2690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cp:revision>
  <cp:lastPrinted>2025-04-17T14:04:00Z</cp:lastPrinted>
  <dcterms:created xsi:type="dcterms:W3CDTF">2026-04-01T11:23:00Z</dcterms:created>
  <dcterms:modified xsi:type="dcterms:W3CDTF">2026-04-01T11:23:00Z</dcterms:modified>
</cp:coreProperties>
</file>