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2" w:space="0" w:color="auto"/>
          <w:left w:val="single" w:sz="2" w:space="0" w:color="auto"/>
          <w:bottom w:val="single" w:sz="2" w:space="0" w:color="auto"/>
          <w:right w:val="single" w:sz="2" w:space="0" w:color="auto"/>
        </w:tblBorders>
        <w:shd w:val="clear" w:color="auto" w:fill="F8FAFC"/>
        <w:tblCellMar>
          <w:top w:w="15" w:type="dxa"/>
          <w:left w:w="15" w:type="dxa"/>
          <w:bottom w:w="15" w:type="dxa"/>
          <w:right w:w="15" w:type="dxa"/>
        </w:tblCellMar>
        <w:tblLook w:val="04A0" w:firstRow="1" w:lastRow="0" w:firstColumn="1" w:lastColumn="0" w:noHBand="0" w:noVBand="1"/>
      </w:tblPr>
      <w:tblGrid>
        <w:gridCol w:w="2397"/>
        <w:gridCol w:w="302"/>
        <w:gridCol w:w="6613"/>
      </w:tblGrid>
      <w:tr w:rsidR="0084349E" w:rsidRPr="0084349E" w14:paraId="4BADBEDD"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11A08C08" w14:textId="77777777" w:rsidR="0084349E" w:rsidRPr="0084349E" w:rsidRDefault="0084349E" w:rsidP="0084349E">
            <w:r w:rsidRPr="0084349E">
              <w:rPr>
                <w:b/>
                <w:bCs/>
              </w:rPr>
              <w:t>Kuruluş</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5728BAD0"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5093A856" w14:textId="5E35CCCE" w:rsidR="0084349E" w:rsidRPr="00F7284D" w:rsidRDefault="0084349E" w:rsidP="00F7284D">
            <w:pPr>
              <w:jc w:val="both"/>
              <w:rPr>
                <w:rFonts w:ascii="Calibri" w:hAnsi="Calibri" w:cs="Calibri"/>
              </w:rPr>
            </w:pPr>
            <w:r w:rsidRPr="003D2505">
              <w:rPr>
                <w:rFonts w:ascii="Calibri" w:hAnsi="Calibri" w:cs="Calibri"/>
              </w:rPr>
              <w:t>17.03.2006 tarih ve 26111 sayılı Resmî Gazete yayınlanan 5467 sa</w:t>
            </w:r>
            <w:r w:rsidR="00F7284D">
              <w:rPr>
                <w:rFonts w:ascii="Calibri" w:hAnsi="Calibri" w:cs="Calibri"/>
              </w:rPr>
              <w:t>yılı Kanunlar Üniversitemiz Fen-</w:t>
            </w:r>
            <w:r w:rsidRPr="003D2505">
              <w:rPr>
                <w:rFonts w:ascii="Calibri" w:hAnsi="Calibri" w:cs="Calibri"/>
              </w:rPr>
              <w:t>Edebiyat Fakültesi kuru</w:t>
            </w:r>
            <w:r w:rsidR="00F7284D">
              <w:rPr>
                <w:rFonts w:ascii="Calibri" w:hAnsi="Calibri" w:cs="Calibri"/>
              </w:rPr>
              <w:t>lmuştur. 2007 yılında fakülte</w:t>
            </w:r>
            <w:r w:rsidRPr="003D2505">
              <w:rPr>
                <w:rFonts w:ascii="Calibri" w:hAnsi="Calibri" w:cs="Calibri"/>
              </w:rPr>
              <w:t xml:space="preserve"> bölüm</w:t>
            </w:r>
            <w:r w:rsidR="00F7284D">
              <w:rPr>
                <w:rFonts w:ascii="Calibri" w:hAnsi="Calibri" w:cs="Calibri"/>
              </w:rPr>
              <w:t>leri oluşturulmaya başlanmış; Türk Dili ve Edebiyatı Bölümü</w:t>
            </w:r>
            <w:r w:rsidRPr="003D2505">
              <w:rPr>
                <w:rFonts w:ascii="Calibri" w:hAnsi="Calibri" w:cs="Calibri"/>
              </w:rPr>
              <w:t>, 2008 yılında kurulmuş, 2017-2018 eğitim-öğretim yılında lisans</w:t>
            </w:r>
            <w:r w:rsidR="00F7284D">
              <w:rPr>
                <w:rFonts w:ascii="Calibri" w:hAnsi="Calibri" w:cs="Calibri"/>
              </w:rPr>
              <w:t xml:space="preserve"> öğretimine başlamıştır.</w:t>
            </w:r>
          </w:p>
        </w:tc>
      </w:tr>
      <w:tr w:rsidR="0084349E" w:rsidRPr="0084349E" w14:paraId="5277D437"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37FF308" w14:textId="77777777" w:rsidR="0084349E" w:rsidRPr="0084349E" w:rsidRDefault="0084349E" w:rsidP="0084349E">
            <w:r w:rsidRPr="0084349E">
              <w:rPr>
                <w:b/>
                <w:bCs/>
              </w:rPr>
              <w:t>Kazanılan Derece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E9B7670"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D1B7C2E" w14:textId="7AC047A1" w:rsidR="0084349E" w:rsidRPr="0084349E" w:rsidRDefault="0084349E" w:rsidP="009203EB">
            <w:pPr>
              <w:jc w:val="both"/>
            </w:pPr>
            <w:r w:rsidRPr="0084349E">
              <w:t>Programı tüm gereksinimlerini yerine getirerek başarı ile tamamlayan mezunlar "</w:t>
            </w:r>
            <w:r>
              <w:t>Türk Dili ve Edebiyatı</w:t>
            </w:r>
            <w:r w:rsidRPr="0084349E">
              <w:t xml:space="preserve"> alanında Lisans Diploması" derecesi alırlar</w:t>
            </w:r>
            <w:r>
              <w:t xml:space="preserve"> ve “Türkolog” </w:t>
            </w:r>
            <w:r w:rsidR="009203EB">
              <w:t>unvanını kullanmayı hak kazanırlar.</w:t>
            </w:r>
          </w:p>
        </w:tc>
      </w:tr>
      <w:tr w:rsidR="0084349E" w:rsidRPr="0084349E" w14:paraId="4DCBED7C"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5A152436" w14:textId="77777777" w:rsidR="0084349E" w:rsidRPr="0084349E" w:rsidRDefault="0084349E" w:rsidP="0084349E">
            <w:r w:rsidRPr="0084349E">
              <w:rPr>
                <w:b/>
                <w:bCs/>
              </w:rPr>
              <w:t xml:space="preserve">Derecenin Düzeyi (Ön </w:t>
            </w:r>
            <w:proofErr w:type="gramStart"/>
            <w:r w:rsidRPr="0084349E">
              <w:rPr>
                <w:b/>
                <w:bCs/>
              </w:rPr>
              <w:t>Lisans , Lisans</w:t>
            </w:r>
            <w:proofErr w:type="gramEnd"/>
            <w:r w:rsidRPr="0084349E">
              <w:rPr>
                <w:b/>
                <w:bCs/>
              </w:rPr>
              <w:t>, Yüksek Lisans, Doktora)</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781B0A79"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406DC283" w14:textId="77777777" w:rsidR="0084349E" w:rsidRPr="0084349E" w:rsidRDefault="0084349E" w:rsidP="0084349E">
            <w:r w:rsidRPr="0084349E">
              <w:t>Lisans</w:t>
            </w:r>
          </w:p>
        </w:tc>
      </w:tr>
      <w:tr w:rsidR="0084349E" w:rsidRPr="0084349E" w14:paraId="29BDC264"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23629C58" w14:textId="77777777" w:rsidR="0084349E" w:rsidRPr="0084349E" w:rsidRDefault="0084349E" w:rsidP="0084349E">
            <w:r w:rsidRPr="0084349E">
              <w:rPr>
                <w:b/>
                <w:bCs/>
              </w:rPr>
              <w:t>Kabul ve Kayıt Koşulları</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9149DD5"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6F7C141" w14:textId="77777777" w:rsidR="0084349E" w:rsidRPr="0084349E" w:rsidRDefault="0084349E" w:rsidP="00852297">
            <w:pPr>
              <w:jc w:val="both"/>
            </w:pPr>
            <w:r w:rsidRPr="0084349E">
              <w:t>YKS sınavından hangi puan türünde alım yapmaktadır. Burdur Mehmet Akif Ersoy Üniversitesinde kayıt kabul işlemleri, Öğrenci İşleri Daire Başkanlığı tarafından yürütülmekte olup, yönetmelik ve yönergelere ilişkin bilgiye, https://oidb.mehmetakif.edu.tr/ adresinden ulaşılabilir.</w:t>
            </w:r>
          </w:p>
        </w:tc>
      </w:tr>
      <w:tr w:rsidR="0084349E" w:rsidRPr="0084349E" w14:paraId="012EA7E9"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6FD73FC1" w14:textId="77777777" w:rsidR="0084349E" w:rsidRPr="0084349E" w:rsidRDefault="0084349E" w:rsidP="0084349E">
            <w:r w:rsidRPr="0084349E">
              <w:rPr>
                <w:b/>
                <w:bCs/>
              </w:rPr>
              <w:t>Önceki Öğrenmenin (</w:t>
            </w:r>
            <w:proofErr w:type="spellStart"/>
            <w:r w:rsidRPr="0084349E">
              <w:rPr>
                <w:b/>
                <w:bCs/>
              </w:rPr>
              <w:t>formal</w:t>
            </w:r>
            <w:proofErr w:type="spellEnd"/>
            <w:r w:rsidRPr="0084349E">
              <w:rPr>
                <w:b/>
                <w:bCs/>
              </w:rPr>
              <w:t>, in-</w:t>
            </w:r>
            <w:proofErr w:type="spellStart"/>
            <w:r w:rsidRPr="0084349E">
              <w:rPr>
                <w:b/>
                <w:bCs/>
              </w:rPr>
              <w:t>formal</w:t>
            </w:r>
            <w:proofErr w:type="spellEnd"/>
            <w:r w:rsidRPr="0084349E">
              <w:rPr>
                <w:b/>
                <w:bCs/>
              </w:rPr>
              <w:t xml:space="preserve">, </w:t>
            </w:r>
            <w:proofErr w:type="spellStart"/>
            <w:r w:rsidRPr="0084349E">
              <w:rPr>
                <w:b/>
                <w:bCs/>
              </w:rPr>
              <w:t>non-formal</w:t>
            </w:r>
            <w:proofErr w:type="spellEnd"/>
            <w:r w:rsidRPr="0084349E">
              <w:rPr>
                <w:b/>
                <w:bCs/>
              </w:rPr>
              <w:t>) Tanınması Hakkında Kurallar</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2FB5CF9E"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6CEAA7A7" w14:textId="790885EC" w:rsidR="0084349E" w:rsidRPr="0084349E" w:rsidRDefault="0084349E" w:rsidP="005F0D58">
            <w:pPr>
              <w:jc w:val="both"/>
            </w:pPr>
            <w:r w:rsidRPr="0084349E">
              <w:t>Burdur Mehmet Akif Ersoy Üniversitesinde öğrenim gören öğrenciler,</w:t>
            </w:r>
            <w:r w:rsidR="005F0D58">
              <w:t xml:space="preserve"> </w:t>
            </w:r>
            <w:r w:rsidRPr="0084349E">
              <w:t>bazı derslerden belirli yönetmelikler çerçevesinde muaf olabilirler. Başka bir kurumda alınan dersin içeriğinin, Burdur Mehmet Akif Ersoy Üniversitesinde verilen dersin içeriğine uygun olması ve ilgili fakülte/enstitü müdürlüğü tarafından onaylanması durumunda, öğrenci bu dersten muaf tutulabilir.</w:t>
            </w:r>
          </w:p>
        </w:tc>
      </w:tr>
      <w:tr w:rsidR="0084349E" w:rsidRPr="0084349E" w14:paraId="0B27A72D"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5EC3B08" w14:textId="77777777" w:rsidR="0084349E" w:rsidRPr="0084349E" w:rsidRDefault="0084349E" w:rsidP="0084349E">
            <w:r w:rsidRPr="0084349E">
              <w:rPr>
                <w:b/>
                <w:bCs/>
              </w:rPr>
              <w:t>Yeterlilik Koşulları ve Kuralları</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2A19441"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BC12150" w14:textId="433E427A" w:rsidR="0084349E" w:rsidRPr="0084349E" w:rsidRDefault="0084349E" w:rsidP="0084349E">
            <w:r w:rsidRPr="0084349E">
              <w:t>1</w:t>
            </w:r>
            <w:r w:rsidR="00BD799A">
              <w:t>.</w:t>
            </w:r>
            <w:r w:rsidRPr="0084349E">
              <w:t xml:space="preserve"> Alanında kazanılan yeterliliklere dayalı olarak güncel bilgileri içeren ders materyallerine, uygulamalı araç ve gereçlere, saha çalışmalarında uygulanan araştırma yöntem ve tekniklerine ve diğer kaynaklarda desteklenen ileri düzeydeki kuramsal ve uygulamalı bilgilere sahiptir.</w:t>
            </w:r>
            <w:r w:rsidRPr="0084349E">
              <w:br/>
              <w:t>2</w:t>
            </w:r>
            <w:r w:rsidR="00BD799A">
              <w:t>.</w:t>
            </w:r>
            <w:r w:rsidRPr="0084349E">
              <w:t xml:space="preserve"> Alanında edindiği ileri düzeydeki kuramsal ve uygulamalı bilgileri kullanır.</w:t>
            </w:r>
            <w:r w:rsidRPr="0084349E">
              <w:br/>
              <w:t>3</w:t>
            </w:r>
            <w:r w:rsidR="00BD799A">
              <w:t>.</w:t>
            </w:r>
            <w:r w:rsidRPr="0084349E">
              <w:t xml:space="preserve"> Alanında edindiği k</w:t>
            </w:r>
            <w:r w:rsidR="00BD799A">
              <w:t>uramsal ve uygulamalı bilgileri</w:t>
            </w:r>
            <w:r w:rsidRPr="0084349E">
              <w:t xml:space="preserve"> eğitim-öğretim, araştırm</w:t>
            </w:r>
            <w:r w:rsidR="00BD799A">
              <w:t>a ve topluma hizmet alanlarında</w:t>
            </w:r>
            <w:r w:rsidRPr="0084349E">
              <w:t xml:space="preserve"> kullanır, çözümler ve uygular.</w:t>
            </w:r>
            <w:r w:rsidRPr="0084349E">
              <w:br/>
              <w:t>4</w:t>
            </w:r>
            <w:r w:rsidR="00785CC8">
              <w:t>.</w:t>
            </w:r>
            <w:r w:rsidRPr="0084349E">
              <w:t xml:space="preserve"> Alanında karşılaşılan ve öngörülemeyen karmaşık sorunları çözmek için bireysel olarak bağımsız çalışır veya ekip üyesi </w:t>
            </w:r>
            <w:r w:rsidR="00785CC8">
              <w:t>olarak sorumluluk üstlenir.</w:t>
            </w:r>
            <w:r w:rsidRPr="0084349E">
              <w:br/>
              <w:t>5</w:t>
            </w:r>
            <w:r w:rsidR="00785CC8">
              <w:t>.</w:t>
            </w:r>
            <w:r w:rsidRPr="0084349E">
              <w:t xml:space="preserve"> Sorumluluğu altında çalışanların ilgili alandaki gelişimine yönelik etkinlikleri planlar.</w:t>
            </w:r>
            <w:r w:rsidRPr="0084349E">
              <w:br/>
              <w:t>6</w:t>
            </w:r>
            <w:r w:rsidR="00785CC8">
              <w:t>.</w:t>
            </w:r>
            <w:r w:rsidRPr="0084349E">
              <w:t xml:space="preserve"> Alanındaki</w:t>
            </w:r>
            <w:r w:rsidR="00785CC8">
              <w:t xml:space="preserve"> bilgi ve becerileri kullanarak</w:t>
            </w:r>
            <w:r w:rsidRPr="0084349E">
              <w:t xml:space="preserve"> kişisel ve kurumsal gelişimi planlar.</w:t>
            </w:r>
            <w:r w:rsidRPr="0084349E">
              <w:br/>
              <w:t>7</w:t>
            </w:r>
            <w:r w:rsidR="00785CC8">
              <w:t>.</w:t>
            </w:r>
            <w:r w:rsidRPr="0084349E">
              <w:t xml:space="preserve"> Alanında edindiği bilgi ve becerileri eleştirel bir yaklaşımla </w:t>
            </w:r>
            <w:r w:rsidRPr="0084349E">
              <w:lastRenderedPageBreak/>
              <w:t>değerlendirir.</w:t>
            </w:r>
            <w:r w:rsidRPr="0084349E">
              <w:br/>
              <w:t>8</w:t>
            </w:r>
            <w:r w:rsidR="00785CC8">
              <w:t>.</w:t>
            </w:r>
            <w:r w:rsidRPr="0084349E">
              <w:t xml:space="preserve"> Sorumluluğu altında çalışanların öğrenme gereksinimlerini belirler ve öğrenme süreçlerini yönetir.</w:t>
            </w:r>
            <w:r w:rsidRPr="0084349E">
              <w:br/>
              <w:t>9</w:t>
            </w:r>
            <w:r w:rsidR="00785CC8">
              <w:t>.</w:t>
            </w:r>
            <w:r w:rsidRPr="0084349E">
              <w:t xml:space="preserve"> Yaşam boyu öğrenmeye ilişkin olumlu tutum geliştirir.</w:t>
            </w:r>
            <w:r w:rsidRPr="0084349E">
              <w:br/>
              <w:t>10</w:t>
            </w:r>
            <w:r w:rsidR="00785CC8">
              <w:t>.</w:t>
            </w:r>
            <w:r w:rsidRPr="0084349E">
              <w:t xml:space="preserve"> Alanındaki ilgili kişi ve kurumları bilgilendirir ve onlara düşüncelerini aktarır, sorunlarla ilgili çözüm önerilerini kuramsal ve uygulamalı olarak ortaya koyar.</w:t>
            </w:r>
            <w:r w:rsidRPr="0084349E">
              <w:br/>
              <w:t>11</w:t>
            </w:r>
            <w:r w:rsidR="00785CC8">
              <w:t>.</w:t>
            </w:r>
            <w:r w:rsidR="000B4E1D">
              <w:t xml:space="preserve"> Alanıyla ilgili sorunlara yönelik</w:t>
            </w:r>
            <w:r w:rsidRPr="0084349E">
              <w:t xml:space="preserve"> çözüm önerilerini nicel ve nitel verilerle destekler ve bu verileri ilgili alanda bulunan uzman olan ve olmayan kişi ve kurumlarla çeşitli iletişim araçlarıyla paylaşır.</w:t>
            </w:r>
            <w:r w:rsidRPr="0084349E">
              <w:br/>
              <w:t>12</w:t>
            </w:r>
            <w:r w:rsidR="000B4E1D">
              <w:t>.</w:t>
            </w:r>
            <w:r w:rsidRPr="0084349E">
              <w:t xml:space="preserve"> Alanındaki çeşitli sosyal, kültürel ve sanatsal etkinliklere katılır.</w:t>
            </w:r>
            <w:r w:rsidRPr="0084349E">
              <w:br/>
              <w:t>13</w:t>
            </w:r>
            <w:r w:rsidR="00100B1E">
              <w:t>.</w:t>
            </w:r>
            <w:r w:rsidRPr="0084349E">
              <w:t xml:space="preserve"> Bir yabancı dili kullanarak beşeri bilimler alanında kuramsal ve uygulamalı bilgileri izler ve ilgili alandaki uzman ve uzman olmayan kişi ve kuruluşlarla bu bilgileri paylaşır (Avrupa Dil Portföyü B1 Genel Düzeyinde).</w:t>
            </w:r>
            <w:r w:rsidRPr="0084349E">
              <w:br/>
              <w:t>14</w:t>
            </w:r>
            <w:r w:rsidR="00100B1E">
              <w:t>.</w:t>
            </w:r>
            <w:r w:rsidRPr="0084349E">
              <w:t xml:space="preserve"> Alanının gerektirdiği bilgisayar yazılımı ile birlikte bilişim ve bilgi teknolojilerini ileri düzeyde kullanır.</w:t>
            </w:r>
            <w:r w:rsidRPr="0084349E">
              <w:br/>
              <w:t>15</w:t>
            </w:r>
            <w:r w:rsidR="00100B1E">
              <w:t>.</w:t>
            </w:r>
            <w:r w:rsidRPr="0084349E">
              <w:t xml:space="preserve"> Alanı ile ilgili bilgileri toplar, çözümler, yorumlar ve ilgili kişi, kurum ve kuruluşlarla paylaşır.</w:t>
            </w:r>
            <w:r w:rsidRPr="0084349E">
              <w:br/>
              <w:t>16</w:t>
            </w:r>
            <w:r w:rsidR="00100B1E">
              <w:t>.</w:t>
            </w:r>
            <w:r w:rsidRPr="0084349E">
              <w:t xml:space="preserve"> Alanı ile ilgili bilgilerin uygulanması sürecinde etik değerleri gözetir.</w:t>
            </w:r>
            <w:r w:rsidRPr="0084349E">
              <w:br/>
              <w:t>17</w:t>
            </w:r>
            <w:r w:rsidR="004B205F">
              <w:t>.</w:t>
            </w:r>
            <w:r w:rsidRPr="0084349E">
              <w:t xml:space="preserve"> Alanında sosyal, kültürel ha</w:t>
            </w:r>
            <w:r w:rsidR="006C6837">
              <w:t>kların evrenselliğini destekler;</w:t>
            </w:r>
            <w:r w:rsidRPr="0084349E">
              <w:t xml:space="preserve"> sosyal adalet bilinci kazanır, tarihi ve kültürel mirasa sahip çıkar.</w:t>
            </w:r>
            <w:r w:rsidRPr="0084349E">
              <w:br/>
              <w:t>18</w:t>
            </w:r>
            <w:r w:rsidR="006C6837">
              <w:t>.</w:t>
            </w:r>
            <w:r w:rsidRPr="0084349E">
              <w:t xml:space="preserve"> Alanında disiplinler arası araştırma ve inceleme yapar.</w:t>
            </w:r>
            <w:r w:rsidRPr="0084349E">
              <w:br/>
              <w:t>19</w:t>
            </w:r>
            <w:r w:rsidR="006C6837">
              <w:t>.</w:t>
            </w:r>
            <w:r w:rsidRPr="0084349E">
              <w:t xml:space="preserve"> Kalite yönetim ve süreçlerine uygun davranır ve katılır.</w:t>
            </w:r>
          </w:p>
        </w:tc>
      </w:tr>
      <w:tr w:rsidR="0084349E" w:rsidRPr="0084349E" w14:paraId="097EA446"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0B451ACB" w14:textId="77777777" w:rsidR="0084349E" w:rsidRPr="0084349E" w:rsidRDefault="0084349E" w:rsidP="0084349E">
            <w:r w:rsidRPr="0084349E">
              <w:rPr>
                <w:b/>
                <w:bCs/>
              </w:rPr>
              <w:lastRenderedPageBreak/>
              <w:t>Program Profili</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7521A3D4"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2696FD42" w14:textId="4DA0F5CC" w:rsidR="0084349E" w:rsidRPr="0084349E" w:rsidRDefault="0084349E" w:rsidP="0082518E">
            <w:pPr>
              <w:jc w:val="both"/>
            </w:pPr>
            <w:r>
              <w:t>Burdur Mehmet Akif Ersoy Üniversitesi Tü</w:t>
            </w:r>
            <w:r w:rsidR="0082518E">
              <w:t>rk Dili ve Edebiyatı Bölümü kendi alanlarında uzman akademik bir kadroya sahip olup akademik çalışma ve dersler birlikte yürütülmektedir. Bölüm Eski Türk Edebiyatı, Türk Halk Edebiyatı, Yeni Türk Edebiyatı, Eski Türk Dili ve Yeni Türk Dili ana b</w:t>
            </w:r>
            <w:r w:rsidR="00C51BEB">
              <w:t>ilim dallarından oluşmaktadır. Öncelikle</w:t>
            </w:r>
            <w:r w:rsidRPr="00BC49DC">
              <w:t xml:space="preserve"> Türk dünyasından olmak üzere eğitim almak için gelen yabancı uyruklu öğrencilerin de içinde olduğu</w:t>
            </w:r>
            <w:r>
              <w:t xml:space="preserve"> bir program yürütülmektedir</w:t>
            </w:r>
            <w:r w:rsidR="0082518E">
              <w:t>. Mezun olan öğrenciler,</w:t>
            </w:r>
            <w:r w:rsidRPr="00BC49DC">
              <w:t xml:space="preserve"> </w:t>
            </w:r>
            <w:r w:rsidR="0082518E">
              <w:t xml:space="preserve">başta </w:t>
            </w:r>
            <w:r w:rsidR="00C51BEB">
              <w:t>Mili Eğitim Bakanlığı’nda</w:t>
            </w:r>
            <w:r w:rsidR="0082518E" w:rsidRPr="00BC49DC">
              <w:t xml:space="preserve"> </w:t>
            </w:r>
            <w:r w:rsidR="0082518E">
              <w:t xml:space="preserve">öğretmen olabilmekte ayrıca </w:t>
            </w:r>
            <w:r w:rsidRPr="00BC49DC">
              <w:t>Devlet Arşivleri, kütüphaneler, Türkiye Yazma Eserler Kurumu gibi kur</w:t>
            </w:r>
            <w:r w:rsidR="0082518E">
              <w:t>umlarda iş imkânı bulabilmektedirler</w:t>
            </w:r>
            <w:r w:rsidRPr="00BC49DC">
              <w:t xml:space="preserve">. </w:t>
            </w:r>
          </w:p>
        </w:tc>
      </w:tr>
      <w:tr w:rsidR="0084349E" w:rsidRPr="0084349E" w14:paraId="4F1BFBC8"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A70B5FE" w14:textId="77777777" w:rsidR="0084349E" w:rsidRPr="0084349E" w:rsidRDefault="0084349E" w:rsidP="0084349E">
            <w:r w:rsidRPr="0084349E">
              <w:rPr>
                <w:b/>
                <w:bCs/>
              </w:rPr>
              <w:t>Mezunların İstihdam Profilleri (örneklerle)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102C3B1"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21A1ECA" w14:textId="731D7293" w:rsidR="0084349E" w:rsidRPr="0084349E" w:rsidRDefault="0084349E" w:rsidP="00CA304A">
            <w:pPr>
              <w:jc w:val="both"/>
            </w:pPr>
            <w:r>
              <w:t>Türk Dili ve Edebiyatı</w:t>
            </w:r>
            <w:r w:rsidR="00CA304A">
              <w:t xml:space="preserve"> Bölümü mezunları,</w:t>
            </w:r>
            <w:r w:rsidRPr="0084349E">
              <w:t xml:space="preserve"> </w:t>
            </w:r>
            <w:proofErr w:type="gramStart"/>
            <w:r w:rsidRPr="0084349E">
              <w:t>spesifik</w:t>
            </w:r>
            <w:proofErr w:type="gramEnd"/>
            <w:r w:rsidRPr="0084349E">
              <w:t xml:space="preserve"> alanlarda (kütüphane, arşiv, müze, vb.) araştırmacı sıfatıyla memur olabilecekleri gibi, formasyonlarını tamamladıkları takdirde öğretmenlik de yapabilmektedirler.</w:t>
            </w:r>
          </w:p>
        </w:tc>
      </w:tr>
      <w:tr w:rsidR="0084349E" w:rsidRPr="0084349E" w14:paraId="54C7609C"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7F96FDAC" w14:textId="77777777" w:rsidR="0084349E" w:rsidRPr="0084349E" w:rsidRDefault="0084349E" w:rsidP="0084349E">
            <w:r w:rsidRPr="0084349E">
              <w:rPr>
                <w:b/>
                <w:bCs/>
              </w:rPr>
              <w:t>Üst Derece Programlarına Geçiş</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5E8E9D67"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2039643E" w14:textId="77777777" w:rsidR="0084349E" w:rsidRPr="0084349E" w:rsidRDefault="0084349E" w:rsidP="00CA304A">
            <w:pPr>
              <w:jc w:val="both"/>
            </w:pPr>
            <w:r w:rsidRPr="0084349E">
              <w:t>Öncelikle sosyal ve beşeri bilim alanında olmak üzere her alanda yüksek lisans, doktora programlarına veya sanatta yeterlik programlarına başvurabilir. Programa ait lisansüstü eğitim hizmetleri Burdur Mehmet Akif Ersoy Üniversitesi Sosyal Bilimler Enstitüsü tarafından yürütülmektedir. Lisansüstü programlarla ilgili gerekli şartlar, kayıt süreci ve detaylı bilgi için enstitünün sayfasını https://sbe.mehmetakif.edu.tr/ ziyaret edebilirsiniz.</w:t>
            </w:r>
          </w:p>
        </w:tc>
      </w:tr>
      <w:tr w:rsidR="0084349E" w:rsidRPr="0084349E" w14:paraId="1BFFD5C3"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FD22273" w14:textId="77777777" w:rsidR="0084349E" w:rsidRPr="0084349E" w:rsidRDefault="0084349E" w:rsidP="0084349E">
            <w:r w:rsidRPr="0084349E">
              <w:rPr>
                <w:b/>
                <w:bCs/>
              </w:rPr>
              <w:t>Sınavlar, Ölçme ve Değerlendirme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B80978E"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F42ED24" w14:textId="77777777" w:rsidR="0084349E" w:rsidRPr="0084349E" w:rsidRDefault="0084349E" w:rsidP="0084349E">
            <w:r w:rsidRPr="0084349E">
              <w:t>  HARF NOTU  4'LÜ SİSTEM  BAŞARI PUANI</w:t>
            </w:r>
            <w:r w:rsidRPr="0084349E">
              <w:br/>
              <w:t> AA                      4,00                       90-100</w:t>
            </w:r>
            <w:r w:rsidRPr="0084349E">
              <w:br/>
              <w:t> BA                      3,50                       85-89</w:t>
            </w:r>
            <w:r w:rsidRPr="0084349E">
              <w:br/>
              <w:t> BB                      3,00                       80-84</w:t>
            </w:r>
            <w:r w:rsidRPr="0084349E">
              <w:br/>
              <w:t> CB                      2,50                       75-79</w:t>
            </w:r>
            <w:r w:rsidRPr="0084349E">
              <w:br/>
              <w:t> CC                      2,00                       70-74</w:t>
            </w:r>
            <w:r w:rsidRPr="0084349E">
              <w:br/>
              <w:t> DC                     1,50                        65-69</w:t>
            </w:r>
            <w:r w:rsidRPr="0084349E">
              <w:br/>
              <w:t> DD                     1,00                       60-64</w:t>
            </w:r>
            <w:r w:rsidRPr="0084349E">
              <w:br/>
              <w:t> FD                      0,50                       00-00</w:t>
            </w:r>
            <w:r w:rsidRPr="0084349E">
              <w:br/>
              <w:t> FF                       0,00                       00-00</w:t>
            </w:r>
          </w:p>
          <w:p w14:paraId="55904DA7" w14:textId="77777777" w:rsidR="0084349E" w:rsidRPr="0084349E" w:rsidRDefault="0084349E" w:rsidP="0084349E">
            <w:r w:rsidRPr="0084349E">
              <w:t>DZ                       0,00                       00-00</w:t>
            </w:r>
            <w:r w:rsidRPr="0084349E">
              <w:br/>
              <w:t> </w:t>
            </w:r>
          </w:p>
        </w:tc>
      </w:tr>
      <w:tr w:rsidR="0084349E" w:rsidRPr="0084349E" w14:paraId="45C62690"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40B8685D" w14:textId="77777777" w:rsidR="0084349E" w:rsidRPr="0084349E" w:rsidRDefault="0084349E" w:rsidP="0084349E">
            <w:r w:rsidRPr="0084349E">
              <w:rPr>
                <w:b/>
                <w:bCs/>
              </w:rPr>
              <w:t>Mezuniyet Koşulları</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7D889F68"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7D5860FF" w14:textId="77777777" w:rsidR="0084349E" w:rsidRPr="0084349E" w:rsidRDefault="0084349E" w:rsidP="00CA304A">
            <w:pPr>
              <w:jc w:val="both"/>
            </w:pPr>
            <w:r w:rsidRPr="0084349E">
              <w:t>Mezuniyet için gerekli krediyi tamamlamış, ağırlıklı genel not ortalaması(AGNO) en az 2.00 olan ve ilgili birimin yönetim kurulunca mezuniyetlerine karar verilen öğrencilere 2547 sayılı Yükseköğretim Kanununda öngörülen diploma verilir. Diploma tarihi birim yönetim kurulu karar tarihidir. AGNO, aynı zamanda mezuniyet not ortalamasıdır. Diplomalar, Senato tarafından belirlenen esaslar çerçevesinde düzenlenir.</w:t>
            </w:r>
          </w:p>
          <w:p w14:paraId="428E1F88" w14:textId="77777777" w:rsidR="0084349E" w:rsidRPr="0084349E" w:rsidRDefault="0084349E" w:rsidP="00CA304A">
            <w:pPr>
              <w:jc w:val="both"/>
            </w:pPr>
            <w:r w:rsidRPr="0084349E">
              <w:t xml:space="preserve">Lisans öğrenimine devam eden bir öğrenciye; 2547 sayılı Kanun hükümleri uyarınca bir lisans programının en az ilk dört yarıyılının bütün derslerinden başarılı olması, </w:t>
            </w:r>
            <w:proofErr w:type="spellStart"/>
            <w:r w:rsidRPr="0084349E">
              <w:t>AGNO’sunun</w:t>
            </w:r>
            <w:proofErr w:type="spellEnd"/>
            <w:r w:rsidRPr="0084349E">
              <w:t xml:space="preserve"> en az 2.00 olması ve kendi isteğiyle Üniversiteden </w:t>
            </w:r>
            <w:bookmarkStart w:id="0" w:name="_GoBack"/>
            <w:bookmarkEnd w:id="0"/>
            <w:r w:rsidRPr="0084349E">
              <w:t>ayrılması halinde ön lisans diploması verilebilir.</w:t>
            </w:r>
          </w:p>
          <w:p w14:paraId="615C78D9" w14:textId="77777777" w:rsidR="0084349E" w:rsidRPr="0084349E" w:rsidRDefault="0084349E" w:rsidP="00CA304A">
            <w:pPr>
              <w:jc w:val="both"/>
            </w:pPr>
            <w:r w:rsidRPr="0084349E">
              <w:t>Diplomalar hazırlanıncaya kadar, bir defaya mahsus olmak üzere öğrenciye geçici mezuniyet belgesi verilir. Mezuniyet tarihi, öğrencinin mezuniyeti ile ilgili toplanan birim yönetim kurulunun karar tarihidir.</w:t>
            </w:r>
          </w:p>
          <w:p w14:paraId="339511DF" w14:textId="77777777" w:rsidR="0084349E" w:rsidRPr="0084349E" w:rsidRDefault="0084349E" w:rsidP="00CA304A">
            <w:pPr>
              <w:jc w:val="both"/>
            </w:pPr>
            <w:r w:rsidRPr="0084349E">
              <w:t>Mezun olan öğrenciye, diploma bir defaya mahsus olmak üzere verilir. Diplomanın kaybedilmesi, tahribata uğraması ya da mahkeme kararına dayalı olarak kimlik bilgilerinde değişiklik yapılması halinde Senato tarafından belirlenen esaslara göre işlem yapılır.</w:t>
            </w:r>
          </w:p>
          <w:p w14:paraId="78DB6735" w14:textId="77777777" w:rsidR="0084349E" w:rsidRPr="0084349E" w:rsidRDefault="0084349E" w:rsidP="00CA304A">
            <w:pPr>
              <w:jc w:val="both"/>
            </w:pPr>
            <w:r w:rsidRPr="0084349E">
              <w:t>Mezun olan öğrenciye, mezuniyet derecesini, ağırlıklı genel not ortalamasını, devam ettikleri bölüm veya program ile aldıkları ders, proje, laboratuvar ve bitirme projesini, başarı notlarıyla birlikte gösteren bir öğrenim belgesi verilir.</w:t>
            </w:r>
          </w:p>
          <w:p w14:paraId="14135C3C" w14:textId="77777777" w:rsidR="0084349E" w:rsidRPr="0084349E" w:rsidRDefault="0084349E" w:rsidP="00CA304A">
            <w:pPr>
              <w:jc w:val="both"/>
            </w:pPr>
            <w:r w:rsidRPr="0084349E">
              <w:t>Tüm dersleri başarıyla bitiren ve disiplin cezası almayan bir öğrenciye; bitirme notu 3.00-3.49 arasında ise onur belgesi, 3.50-4.00 arasında ise yüksek onur belgesi verilir.</w:t>
            </w:r>
          </w:p>
        </w:tc>
      </w:tr>
      <w:tr w:rsidR="0084349E" w:rsidRPr="0084349E" w14:paraId="5E81B09A"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5DC24810" w14:textId="77777777" w:rsidR="0084349E" w:rsidRPr="0084349E" w:rsidRDefault="0084349E" w:rsidP="0084349E">
            <w:r w:rsidRPr="0084349E">
              <w:rPr>
                <w:b/>
                <w:bCs/>
              </w:rPr>
              <w:t>Çalışma Şekli (Tam Zamanlı, e-öğrenme )</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1538148"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7B93571B" w14:textId="77777777" w:rsidR="0084349E" w:rsidRPr="0084349E" w:rsidRDefault="0084349E" w:rsidP="0084349E">
            <w:r w:rsidRPr="0084349E">
              <w:t>Tam Zamanlı, e-öğrenme</w:t>
            </w:r>
          </w:p>
        </w:tc>
      </w:tr>
      <w:tr w:rsidR="0084349E" w:rsidRPr="0084349E" w14:paraId="1A6958DD" w14:textId="77777777" w:rsidTr="0084349E">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3060EAD3" w14:textId="77777777" w:rsidR="0084349E" w:rsidRPr="0084349E" w:rsidRDefault="0084349E" w:rsidP="0084349E">
            <w:r w:rsidRPr="0084349E">
              <w:rPr>
                <w:b/>
                <w:bCs/>
              </w:rPr>
              <w:t>Adres ve İletişim Bilgileri (Program Başkanı, AKTS/DS Koordinatörü)</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111D6331" w14:textId="77777777" w:rsidR="0084349E" w:rsidRPr="0084349E" w:rsidRDefault="0084349E" w:rsidP="0084349E">
            <w:r w:rsidRPr="0084349E">
              <w:t>:</w:t>
            </w:r>
          </w:p>
        </w:tc>
        <w:tc>
          <w:tcPr>
            <w:tcW w:w="0" w:type="auto"/>
            <w:tcBorders>
              <w:top w:val="single" w:sz="6" w:space="0" w:color="DDDDDD"/>
              <w:left w:val="single" w:sz="6" w:space="0" w:color="DDDDDD"/>
              <w:bottom w:val="single" w:sz="6" w:space="0" w:color="DDDDDD"/>
              <w:right w:val="single" w:sz="6" w:space="0" w:color="DDDDDD"/>
            </w:tcBorders>
            <w:shd w:val="clear" w:color="auto" w:fill="F8FAFC"/>
            <w:tcMar>
              <w:top w:w="120" w:type="dxa"/>
              <w:left w:w="120" w:type="dxa"/>
              <w:bottom w:w="120" w:type="dxa"/>
              <w:right w:w="120" w:type="dxa"/>
            </w:tcMar>
            <w:vAlign w:val="center"/>
            <w:hideMark/>
          </w:tcPr>
          <w:p w14:paraId="2F730DAB" w14:textId="77777777" w:rsidR="0084349E" w:rsidRPr="0084349E" w:rsidRDefault="0084349E" w:rsidP="0084349E">
            <w:r w:rsidRPr="0084349E">
              <w:rPr>
                <w:b/>
                <w:bCs/>
              </w:rPr>
              <w:t>Burdur Mehmet Akif Ersoy Üniversitesi</w:t>
            </w:r>
          </w:p>
          <w:p w14:paraId="6BE01BCE" w14:textId="77777777" w:rsidR="0084349E" w:rsidRPr="0084349E" w:rsidRDefault="0084349E" w:rsidP="0084349E">
            <w:r w:rsidRPr="0084349E">
              <w:rPr>
                <w:b/>
                <w:bCs/>
              </w:rPr>
              <w:t>Fen-Edebiyat Fakültesi</w:t>
            </w:r>
          </w:p>
          <w:p w14:paraId="0F97A101" w14:textId="77777777" w:rsidR="0084349E" w:rsidRPr="0084349E" w:rsidRDefault="0084349E" w:rsidP="0084349E">
            <w:r w:rsidRPr="0084349E">
              <w:t xml:space="preserve"> Değirmenler Mahallesi-İstiklal Yerleşkesi, 15200, </w:t>
            </w:r>
            <w:proofErr w:type="spellStart"/>
            <w:r w:rsidRPr="0084349E">
              <w:t>Yakaköy</w:t>
            </w:r>
            <w:proofErr w:type="spellEnd"/>
            <w:r w:rsidRPr="0084349E">
              <w:t xml:space="preserve"> / Merkez / Burdur</w:t>
            </w:r>
          </w:p>
          <w:p w14:paraId="47085DE2" w14:textId="77777777" w:rsidR="0084349E" w:rsidRPr="0084349E" w:rsidRDefault="0084349E" w:rsidP="0084349E">
            <w:r w:rsidRPr="0084349E">
              <w:t> +90 248 213 30 00</w:t>
            </w:r>
          </w:p>
          <w:p w14:paraId="27067B9F" w14:textId="77777777" w:rsidR="0084349E" w:rsidRPr="0084349E" w:rsidRDefault="0084349E" w:rsidP="0084349E">
            <w:r w:rsidRPr="0084349E">
              <w:t> </w:t>
            </w:r>
            <w:hyperlink r:id="rId5" w:history="1">
              <w:r w:rsidRPr="0084349E">
                <w:rPr>
                  <w:rStyle w:val="Kpr"/>
                </w:rPr>
                <w:t>fef@mehmetakif.edu.tr</w:t>
              </w:r>
            </w:hyperlink>
          </w:p>
          <w:p w14:paraId="3EC15868" w14:textId="0EED6595" w:rsidR="0084349E" w:rsidRPr="0084349E" w:rsidRDefault="0084349E" w:rsidP="0084349E"/>
        </w:tc>
      </w:tr>
    </w:tbl>
    <w:p w14:paraId="1F4B0CDB" w14:textId="77777777" w:rsidR="009E61EF" w:rsidRDefault="009E61EF"/>
    <w:sectPr w:rsidR="009E61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14"/>
    <w:rsid w:val="000B4E1D"/>
    <w:rsid w:val="00100B1E"/>
    <w:rsid w:val="00244E24"/>
    <w:rsid w:val="002B6415"/>
    <w:rsid w:val="00382A14"/>
    <w:rsid w:val="004B205F"/>
    <w:rsid w:val="005F0D58"/>
    <w:rsid w:val="006C6837"/>
    <w:rsid w:val="00785CC8"/>
    <w:rsid w:val="0082518E"/>
    <w:rsid w:val="0084349E"/>
    <w:rsid w:val="00852297"/>
    <w:rsid w:val="009203EB"/>
    <w:rsid w:val="009E61EF"/>
    <w:rsid w:val="00A2355F"/>
    <w:rsid w:val="00BD799A"/>
    <w:rsid w:val="00C51BEB"/>
    <w:rsid w:val="00CA0C8E"/>
    <w:rsid w:val="00CA304A"/>
    <w:rsid w:val="00F50EC8"/>
    <w:rsid w:val="00F728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82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82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82A1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82A1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82A1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82A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82A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82A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82A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2A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82A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82A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82A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82A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82A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82A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82A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82A14"/>
    <w:rPr>
      <w:rFonts w:eastAsiaTheme="majorEastAsia" w:cstheme="majorBidi"/>
      <w:color w:val="272727" w:themeColor="text1" w:themeTint="D8"/>
    </w:rPr>
  </w:style>
  <w:style w:type="paragraph" w:styleId="KonuBal">
    <w:name w:val="Title"/>
    <w:basedOn w:val="Normal"/>
    <w:next w:val="Normal"/>
    <w:link w:val="KonuBalChar"/>
    <w:uiPriority w:val="10"/>
    <w:qFormat/>
    <w:rsid w:val="00382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82A1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82A1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82A1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82A1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82A14"/>
    <w:rPr>
      <w:i/>
      <w:iCs/>
      <w:color w:val="404040" w:themeColor="text1" w:themeTint="BF"/>
    </w:rPr>
  </w:style>
  <w:style w:type="paragraph" w:styleId="ListeParagraf">
    <w:name w:val="List Paragraph"/>
    <w:basedOn w:val="Normal"/>
    <w:uiPriority w:val="34"/>
    <w:qFormat/>
    <w:rsid w:val="00382A14"/>
    <w:pPr>
      <w:ind w:left="720"/>
      <w:contextualSpacing/>
    </w:pPr>
  </w:style>
  <w:style w:type="character" w:styleId="GlVurgulama">
    <w:name w:val="Intense Emphasis"/>
    <w:basedOn w:val="VarsaylanParagrafYazTipi"/>
    <w:uiPriority w:val="21"/>
    <w:qFormat/>
    <w:rsid w:val="00382A14"/>
    <w:rPr>
      <w:i/>
      <w:iCs/>
      <w:color w:val="0F4761" w:themeColor="accent1" w:themeShade="BF"/>
    </w:rPr>
  </w:style>
  <w:style w:type="paragraph" w:styleId="KeskinTrnak">
    <w:name w:val="Intense Quote"/>
    <w:basedOn w:val="Normal"/>
    <w:next w:val="Normal"/>
    <w:link w:val="KeskinTrnakChar"/>
    <w:uiPriority w:val="30"/>
    <w:qFormat/>
    <w:rsid w:val="00382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82A14"/>
    <w:rPr>
      <w:i/>
      <w:iCs/>
      <w:color w:val="0F4761" w:themeColor="accent1" w:themeShade="BF"/>
    </w:rPr>
  </w:style>
  <w:style w:type="character" w:styleId="GlBavuru">
    <w:name w:val="Intense Reference"/>
    <w:basedOn w:val="VarsaylanParagrafYazTipi"/>
    <w:uiPriority w:val="32"/>
    <w:qFormat/>
    <w:rsid w:val="00382A14"/>
    <w:rPr>
      <w:b/>
      <w:bCs/>
      <w:smallCaps/>
      <w:color w:val="0F4761" w:themeColor="accent1" w:themeShade="BF"/>
      <w:spacing w:val="5"/>
    </w:rPr>
  </w:style>
  <w:style w:type="character" w:styleId="Kpr">
    <w:name w:val="Hyperlink"/>
    <w:basedOn w:val="VarsaylanParagrafYazTipi"/>
    <w:uiPriority w:val="99"/>
    <w:unhideWhenUsed/>
    <w:rsid w:val="0084349E"/>
    <w:rPr>
      <w:color w:val="467886" w:themeColor="hyperlink"/>
      <w:u w:val="single"/>
    </w:rPr>
  </w:style>
  <w:style w:type="character" w:customStyle="1" w:styleId="UnresolvedMention">
    <w:name w:val="Unresolved Mention"/>
    <w:basedOn w:val="VarsaylanParagrafYazTipi"/>
    <w:uiPriority w:val="99"/>
    <w:semiHidden/>
    <w:unhideWhenUsed/>
    <w:rsid w:val="008434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382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82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82A1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82A1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82A1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82A1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82A1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82A1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82A1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82A1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82A1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82A1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82A1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82A1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82A1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82A1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82A1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82A14"/>
    <w:rPr>
      <w:rFonts w:eastAsiaTheme="majorEastAsia" w:cstheme="majorBidi"/>
      <w:color w:val="272727" w:themeColor="text1" w:themeTint="D8"/>
    </w:rPr>
  </w:style>
  <w:style w:type="paragraph" w:styleId="KonuBal">
    <w:name w:val="Title"/>
    <w:basedOn w:val="Normal"/>
    <w:next w:val="Normal"/>
    <w:link w:val="KonuBalChar"/>
    <w:uiPriority w:val="10"/>
    <w:qFormat/>
    <w:rsid w:val="00382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82A14"/>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382A14"/>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382A14"/>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382A14"/>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382A14"/>
    <w:rPr>
      <w:i/>
      <w:iCs/>
      <w:color w:val="404040" w:themeColor="text1" w:themeTint="BF"/>
    </w:rPr>
  </w:style>
  <w:style w:type="paragraph" w:styleId="ListeParagraf">
    <w:name w:val="List Paragraph"/>
    <w:basedOn w:val="Normal"/>
    <w:uiPriority w:val="34"/>
    <w:qFormat/>
    <w:rsid w:val="00382A14"/>
    <w:pPr>
      <w:ind w:left="720"/>
      <w:contextualSpacing/>
    </w:pPr>
  </w:style>
  <w:style w:type="character" w:styleId="GlVurgulama">
    <w:name w:val="Intense Emphasis"/>
    <w:basedOn w:val="VarsaylanParagrafYazTipi"/>
    <w:uiPriority w:val="21"/>
    <w:qFormat/>
    <w:rsid w:val="00382A14"/>
    <w:rPr>
      <w:i/>
      <w:iCs/>
      <w:color w:val="0F4761" w:themeColor="accent1" w:themeShade="BF"/>
    </w:rPr>
  </w:style>
  <w:style w:type="paragraph" w:styleId="KeskinTrnak">
    <w:name w:val="Intense Quote"/>
    <w:basedOn w:val="Normal"/>
    <w:next w:val="Normal"/>
    <w:link w:val="KeskinTrnakChar"/>
    <w:uiPriority w:val="30"/>
    <w:qFormat/>
    <w:rsid w:val="00382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382A14"/>
    <w:rPr>
      <w:i/>
      <w:iCs/>
      <w:color w:val="0F4761" w:themeColor="accent1" w:themeShade="BF"/>
    </w:rPr>
  </w:style>
  <w:style w:type="character" w:styleId="GlBavuru">
    <w:name w:val="Intense Reference"/>
    <w:basedOn w:val="VarsaylanParagrafYazTipi"/>
    <w:uiPriority w:val="32"/>
    <w:qFormat/>
    <w:rsid w:val="00382A14"/>
    <w:rPr>
      <w:b/>
      <w:bCs/>
      <w:smallCaps/>
      <w:color w:val="0F4761" w:themeColor="accent1" w:themeShade="BF"/>
      <w:spacing w:val="5"/>
    </w:rPr>
  </w:style>
  <w:style w:type="character" w:styleId="Kpr">
    <w:name w:val="Hyperlink"/>
    <w:basedOn w:val="VarsaylanParagrafYazTipi"/>
    <w:uiPriority w:val="99"/>
    <w:unhideWhenUsed/>
    <w:rsid w:val="0084349E"/>
    <w:rPr>
      <w:color w:val="467886" w:themeColor="hyperlink"/>
      <w:u w:val="single"/>
    </w:rPr>
  </w:style>
  <w:style w:type="character" w:customStyle="1" w:styleId="UnresolvedMention">
    <w:name w:val="Unresolved Mention"/>
    <w:basedOn w:val="VarsaylanParagrafYazTipi"/>
    <w:uiPriority w:val="99"/>
    <w:semiHidden/>
    <w:unhideWhenUsed/>
    <w:rsid w:val="00843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6225">
      <w:bodyDiv w:val="1"/>
      <w:marLeft w:val="0"/>
      <w:marRight w:val="0"/>
      <w:marTop w:val="0"/>
      <w:marBottom w:val="0"/>
      <w:divBdr>
        <w:top w:val="none" w:sz="0" w:space="0" w:color="auto"/>
        <w:left w:val="none" w:sz="0" w:space="0" w:color="auto"/>
        <w:bottom w:val="none" w:sz="0" w:space="0" w:color="auto"/>
        <w:right w:val="none" w:sz="0" w:space="0" w:color="auto"/>
      </w:divBdr>
    </w:div>
    <w:div w:id="13446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f@mehmetakif.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1150</Words>
  <Characters>6556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Yüksel</dc:creator>
  <cp:keywords/>
  <dc:description/>
  <cp:lastModifiedBy>Hp</cp:lastModifiedBy>
  <cp:revision>14</cp:revision>
  <dcterms:created xsi:type="dcterms:W3CDTF">2024-10-02T11:24:00Z</dcterms:created>
  <dcterms:modified xsi:type="dcterms:W3CDTF">2024-12-05T18:30:00Z</dcterms:modified>
</cp:coreProperties>
</file>