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99jzlt7tocsn" w:id="0"/>
      <w:bookmarkEnd w:id="0"/>
      <w:r w:rsidDel="00000000" w:rsidR="00000000" w:rsidRPr="00000000">
        <w:rPr>
          <w:rtl w:val="0"/>
        </w:rPr>
        <w:t xml:space="preserve">2025-2026 SHUİ Öğrenci Memnuniyet Anketi Değerlendirme Raporu</w:t>
      </w:r>
    </w:p>
    <w:p w:rsidR="00000000" w:rsidDel="00000000" w:rsidP="00000000" w:rsidRDefault="00000000" w:rsidRPr="00000000" w14:paraId="00000002">
      <w:pPr>
        <w:rPr/>
      </w:pPr>
      <w:r w:rsidDel="00000000" w:rsidR="00000000" w:rsidRPr="00000000">
        <w:rPr>
          <w:rtl w:val="0"/>
        </w:rPr>
        <w:t xml:space="preserve">Bu briefing belgesi, Burdur Mehmet Akif Ersoy Üniversitesi Ulaştırma Hizmetleri Bölümü tarafından 31.03.2026 - 11.04.2026 tarihleri arasında gerçekleştirilen "2025-2026 SHUİ Öğrenci Memnuniyet Anketi" sonuçlarını analiz etmektedir.</w:t>
      </w:r>
    </w:p>
    <w:p w:rsidR="00000000" w:rsidDel="00000000" w:rsidP="00000000" w:rsidRDefault="00000000" w:rsidRPr="00000000" w14:paraId="00000003">
      <w:pPr>
        <w:pStyle w:val="Heading4"/>
        <w:rPr/>
      </w:pPr>
      <w:bookmarkStart w:colFirst="0" w:colLast="0" w:name="_azr2rrmwmj0n" w:id="1"/>
      <w:bookmarkEnd w:id="1"/>
      <w:r w:rsidDel="00000000" w:rsidR="00000000" w:rsidRPr="00000000">
        <w:rPr>
          <w:rtl w:val="0"/>
        </w:rPr>
        <w:t xml:space="preserve">Yönetici Özeti</w:t>
      </w:r>
    </w:p>
    <w:p w:rsidR="00000000" w:rsidDel="00000000" w:rsidP="00000000" w:rsidRDefault="00000000" w:rsidRPr="00000000" w14:paraId="00000004">
      <w:pPr>
        <w:rPr/>
      </w:pPr>
      <w:r w:rsidDel="00000000" w:rsidR="00000000" w:rsidRPr="00000000">
        <w:rPr>
          <w:rtl w:val="0"/>
        </w:rPr>
        <w:t xml:space="preserve">Ulaştırma Hizmetleri Bölümü öğrencilerinin memnuniyet düzeyini ölçmeyi amaçlayan anket çalışması, hedeflenen katılımın üzerine çıkarak yüksek bir temsil gücüne ulaşmıştır. Genel sonuçlar, öğrencilerin en çok  </w:t>
      </w:r>
      <w:r w:rsidDel="00000000" w:rsidR="00000000" w:rsidRPr="00000000">
        <w:rPr>
          <w:b w:val="1"/>
          <w:bCs w:val="1"/>
          <w:rtl w:val="0"/>
        </w:rPr>
        <w:t xml:space="preserve">Eğitim-Öğretim (%83,40)</w:t>
      </w:r>
      <w:r w:rsidDel="00000000" w:rsidR="00000000" w:rsidRPr="00000000">
        <w:rPr>
          <w:rtl w:val="0"/>
        </w:rPr>
        <w:t xml:space="preserve">  faaliyetlerinden memnun olduğunu, en düşük memnuniyet oranının ise  </w:t>
      </w:r>
      <w:r w:rsidDel="00000000" w:rsidR="00000000" w:rsidRPr="00000000">
        <w:rPr>
          <w:b w:val="1"/>
          <w:bCs w:val="1"/>
          <w:rtl w:val="0"/>
        </w:rPr>
        <w:t xml:space="preserve">Ar-Ge (%68,05)</w:t>
      </w:r>
      <w:r w:rsidDel="00000000" w:rsidR="00000000" w:rsidRPr="00000000">
        <w:rPr>
          <w:rtl w:val="0"/>
        </w:rPr>
        <w:t xml:space="preserve">  alanında yoğunlaştığını göstermektedir.Öğrenciler özellikle öğretim elemanlarının niteliğini, sektörel tecrübelerini ve öğrenci odaklı yaklaşımı üniversitenin en güçlü yanı olarak tanımlamaktadır. Buna karşın, çalışma alanlarının yetersizliği ve değişim programları hakkındaki bilgilendirme süreçleri geliştirilmeye açık temel alanlar olarak öne çıkmaktadır.</w:t>
      </w:r>
    </w:p>
    <w:p w:rsidR="00000000" w:rsidDel="00000000" w:rsidP="00000000" w:rsidRDefault="00000000" w:rsidRPr="00000000" w14:paraId="00000005">
      <w:pPr>
        <w:pStyle w:val="Heading4"/>
        <w:rPr/>
      </w:pPr>
      <w:bookmarkStart w:colFirst="0" w:colLast="0" w:name="_va3ot4dphum6" w:id="2"/>
      <w:bookmarkEnd w:id="2"/>
      <w:r w:rsidDel="00000000" w:rsidR="00000000" w:rsidRPr="00000000">
        <w:rPr>
          <w:rtl w:val="0"/>
        </w:rPr>
        <w:t xml:space="preserve">Genel Katılım Verileri</w:t>
      </w:r>
    </w:p>
    <w:p w:rsidR="00000000" w:rsidDel="00000000" w:rsidP="00000000" w:rsidRDefault="00000000" w:rsidRPr="00000000" w14:paraId="00000006">
      <w:pPr>
        <w:rPr/>
      </w:pPr>
      <w:r w:rsidDel="00000000" w:rsidR="00000000" w:rsidRPr="00000000">
        <w:rPr>
          <w:rtl w:val="0"/>
        </w:rPr>
        <w:t xml:space="preserve">Anket çalışması, beklenen katılım sayısının üzerine çıkarak %100'ün üzerinde bir katılım oranıyla tamamlanmıştır.| Parametre | Değer || ------ | ------ || </w:t>
      </w:r>
      <w:r w:rsidDel="00000000" w:rsidR="00000000" w:rsidRPr="00000000">
        <w:rPr>
          <w:b w:val="1"/>
          <w:bCs w:val="1"/>
          <w:rtl w:val="0"/>
        </w:rPr>
        <w:t xml:space="preserve">Beklenen Katılım</w:t>
      </w:r>
      <w:r w:rsidDel="00000000" w:rsidR="00000000" w:rsidRPr="00000000">
        <w:rPr>
          <w:rtl w:val="0"/>
        </w:rPr>
        <w:t xml:space="preserve"> | 50 || </w:t>
      </w:r>
      <w:r w:rsidDel="00000000" w:rsidR="00000000" w:rsidRPr="00000000">
        <w:rPr>
          <w:b w:val="1"/>
          <w:bCs w:val="1"/>
          <w:rtl w:val="0"/>
        </w:rPr>
        <w:t xml:space="preserve">Gerçekleşen Katılım</w:t>
      </w:r>
      <w:r w:rsidDel="00000000" w:rsidR="00000000" w:rsidRPr="00000000">
        <w:rPr>
          <w:rtl w:val="0"/>
        </w:rPr>
        <w:t xml:space="preserve"> | 53 || </w:t>
      </w:r>
      <w:r w:rsidDel="00000000" w:rsidR="00000000" w:rsidRPr="00000000">
        <w:rPr>
          <w:b w:val="1"/>
          <w:bCs w:val="1"/>
          <w:rtl w:val="0"/>
        </w:rPr>
        <w:t xml:space="preserve">Katılım Oranı</w:t>
      </w:r>
      <w:r w:rsidDel="00000000" w:rsidR="00000000" w:rsidRPr="00000000">
        <w:rPr>
          <w:rtl w:val="0"/>
        </w:rPr>
        <w:t xml:space="preserve"> | %106,00 |</w:t>
      </w:r>
    </w:p>
    <w:p w:rsidR="00000000" w:rsidDel="00000000" w:rsidP="00000000" w:rsidRDefault="00000000" w:rsidRPr="00000000" w14:paraId="00000007">
      <w:pPr>
        <w:rPr/>
      </w:pPr>
      <w:r w:rsidDel="00000000" w:rsidR="00000000" w:rsidRPr="00000000">
        <w:rPr>
          <w:rtl w:val="0"/>
        </w:rPr>
        <w:t xml:space="preserve">Öğrencilerin sınıflara göre dağılımı incelendiğinde, katılımın ağırlıklı olarak birinci ve ikinci sınıf öğrencilerinden oluştuğu görülmektedir:</w:t>
      </w:r>
    </w:p>
    <w:p w:rsidR="00000000" w:rsidDel="00000000" w:rsidP="00000000" w:rsidRDefault="00000000" w:rsidRPr="00000000" w14:paraId="00000008">
      <w:pPr>
        <w:numPr>
          <w:ilvl w:val="0"/>
          <w:numId w:val="2"/>
        </w:numPr>
        <w:ind w:left="720" w:hanging="360"/>
        <w:rPr>
          <w:u w:val="none"/>
        </w:rPr>
      </w:pPr>
      <w:r w:rsidDel="00000000" w:rsidR="00000000" w:rsidRPr="00000000">
        <w:rPr>
          <w:b w:val="1"/>
          <w:bCs w:val="1"/>
          <w:rtl w:val="0"/>
        </w:rPr>
        <w:t xml:space="preserve">1. Sınıf:</w:t>
      </w:r>
      <w:r w:rsidDel="00000000" w:rsidR="00000000" w:rsidRPr="00000000">
        <w:rPr>
          <w:rtl w:val="0"/>
        </w:rPr>
        <w:t xml:space="preserve">  %52,83</w:t>
      </w:r>
    </w:p>
    <w:p w:rsidR="00000000" w:rsidDel="00000000" w:rsidP="00000000" w:rsidRDefault="00000000" w:rsidRPr="00000000" w14:paraId="00000009">
      <w:pPr>
        <w:numPr>
          <w:ilvl w:val="0"/>
          <w:numId w:val="2"/>
        </w:numPr>
        <w:ind w:left="720" w:hanging="360"/>
        <w:rPr>
          <w:u w:val="none"/>
        </w:rPr>
      </w:pPr>
      <w:r w:rsidDel="00000000" w:rsidR="00000000" w:rsidRPr="00000000">
        <w:rPr>
          <w:b w:val="1"/>
          <w:bCs w:val="1"/>
          <w:rtl w:val="0"/>
        </w:rPr>
        <w:t xml:space="preserve">2. Sınıf:</w:t>
      </w:r>
      <w:r w:rsidDel="00000000" w:rsidR="00000000" w:rsidRPr="00000000">
        <w:rPr>
          <w:rtl w:val="0"/>
        </w:rPr>
        <w:t xml:space="preserve">  %45,28</w:t>
      </w:r>
    </w:p>
    <w:p w:rsidR="00000000" w:rsidDel="00000000" w:rsidP="00000000" w:rsidRDefault="00000000" w:rsidRPr="00000000" w14:paraId="0000000A">
      <w:pPr>
        <w:numPr>
          <w:ilvl w:val="0"/>
          <w:numId w:val="2"/>
        </w:numPr>
        <w:ind w:left="720" w:hanging="360"/>
        <w:rPr>
          <w:u w:val="none"/>
        </w:rPr>
      </w:pPr>
      <w:r w:rsidDel="00000000" w:rsidR="00000000" w:rsidRPr="00000000">
        <w:rPr>
          <w:b w:val="1"/>
          <w:bCs w:val="1"/>
          <w:rtl w:val="0"/>
        </w:rPr>
        <w:t xml:space="preserve">Hazırlık:</w:t>
      </w:r>
      <w:r w:rsidDel="00000000" w:rsidR="00000000" w:rsidRPr="00000000">
        <w:rPr>
          <w:rtl w:val="0"/>
        </w:rPr>
        <w:t xml:space="preserve">  %1,89</w:t>
      </w:r>
    </w:p>
    <w:p w:rsidR="00000000" w:rsidDel="00000000" w:rsidP="00000000" w:rsidRDefault="00000000" w:rsidRPr="00000000" w14:paraId="0000000B">
      <w:pPr>
        <w:pStyle w:val="Heading4"/>
        <w:rPr/>
      </w:pPr>
      <w:bookmarkStart w:colFirst="0" w:colLast="0" w:name="_55926op5audq" w:id="3"/>
      <w:bookmarkEnd w:id="3"/>
      <w:r w:rsidDel="00000000" w:rsidR="00000000" w:rsidRPr="00000000">
        <w:rPr>
          <w:rtl w:val="0"/>
        </w:rPr>
        <w:t xml:space="preserve">Tematik Analiz ve Memnuniyet Skorları</w:t>
      </w:r>
    </w:p>
    <w:p w:rsidR="00000000" w:rsidDel="00000000" w:rsidP="00000000" w:rsidRDefault="00000000" w:rsidRPr="00000000" w14:paraId="0000000C">
      <w:pPr>
        <w:rPr/>
      </w:pPr>
      <w:r w:rsidDel="00000000" w:rsidR="00000000" w:rsidRPr="00000000">
        <w:rPr>
          <w:rtl w:val="0"/>
        </w:rPr>
        <w:t xml:space="preserve">Anket sonuçları dört ana başlık altında toplanmıştır. Her bir kategori için belirlenen memnuniyet oranları ve bu kategorilerdeki güçlü/zayıf yönler aşağıda detaylandırılmıştır:</w:t>
      </w:r>
    </w:p>
    <w:p w:rsidR="00000000" w:rsidDel="00000000" w:rsidP="00000000" w:rsidRDefault="00000000" w:rsidRPr="00000000" w14:paraId="0000000D">
      <w:pPr>
        <w:pStyle w:val="Heading5"/>
        <w:rPr/>
      </w:pPr>
      <w:bookmarkStart w:colFirst="0" w:colLast="0" w:name="_qffj8w8l3574" w:id="4"/>
      <w:bookmarkEnd w:id="4"/>
      <w:r w:rsidDel="00000000" w:rsidR="00000000" w:rsidRPr="00000000">
        <w:rPr>
          <w:rtl w:val="0"/>
        </w:rPr>
        <w:t xml:space="preserve">1. Eğitim-Öğretim (%83,40)</w:t>
      </w:r>
    </w:p>
    <w:p w:rsidR="00000000" w:rsidDel="00000000" w:rsidP="00000000" w:rsidRDefault="00000000" w:rsidRPr="00000000" w14:paraId="0000000E">
      <w:pPr>
        <w:rPr/>
      </w:pPr>
      <w:r w:rsidDel="00000000" w:rsidR="00000000" w:rsidRPr="00000000">
        <w:rPr>
          <w:rtl w:val="0"/>
        </w:rPr>
        <w:t xml:space="preserve">Bu kategori, anketteki en yüksek memnuniyet oranına sahiptir.</w:t>
      </w:r>
    </w:p>
    <w:p w:rsidR="00000000" w:rsidDel="00000000" w:rsidP="00000000" w:rsidRDefault="00000000" w:rsidRPr="00000000" w14:paraId="0000000F">
      <w:pPr>
        <w:numPr>
          <w:ilvl w:val="0"/>
          <w:numId w:val="5"/>
        </w:numPr>
        <w:ind w:left="720" w:hanging="360"/>
        <w:rPr>
          <w:b w:val="1"/>
          <w:bCs w:val="1"/>
          <w:u w:val="none"/>
        </w:rPr>
      </w:pPr>
      <w:r w:rsidDel="00000000" w:rsidR="00000000" w:rsidRPr="00000000">
        <w:rPr>
          <w:b w:val="1"/>
          <w:bCs w:val="1"/>
          <w:rtl w:val="0"/>
        </w:rPr>
        <w:t xml:space="preserve">Güçlü Yönler:</w:t>
      </w:r>
    </w:p>
    <w:p w:rsidR="00000000" w:rsidDel="00000000" w:rsidP="00000000" w:rsidRDefault="00000000" w:rsidRPr="00000000" w14:paraId="00000010">
      <w:pPr>
        <w:numPr>
          <w:ilvl w:val="0"/>
          <w:numId w:val="5"/>
        </w:numPr>
        <w:ind w:left="720" w:hanging="360"/>
        <w:rPr>
          <w:u w:val="none"/>
        </w:rPr>
      </w:pPr>
      <w:r w:rsidDel="00000000" w:rsidR="00000000" w:rsidRPr="00000000">
        <w:rPr>
          <w:rtl w:val="0"/>
        </w:rPr>
        <w:t xml:space="preserve">Derslerde öğrenci merkezli öğretim yöntemlerinin uygulanması.</w:t>
      </w:r>
    </w:p>
    <w:p w:rsidR="00000000" w:rsidDel="00000000" w:rsidP="00000000" w:rsidRDefault="00000000" w:rsidRPr="00000000" w14:paraId="00000011">
      <w:pPr>
        <w:numPr>
          <w:ilvl w:val="0"/>
          <w:numId w:val="5"/>
        </w:numPr>
        <w:ind w:left="720" w:hanging="360"/>
        <w:rPr>
          <w:u w:val="none"/>
        </w:rPr>
      </w:pPr>
      <w:r w:rsidDel="00000000" w:rsidR="00000000" w:rsidRPr="00000000">
        <w:rPr>
          <w:rtl w:val="0"/>
        </w:rPr>
        <w:t xml:space="preserve">Öğretim elemanlarının öğrencilerin mesleki ve kariyer gelişimine sunduğu katkılar.</w:t>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Program amaçlarına uygun, güncel bir eğitim içeriğinin sunulması.</w:t>
      </w:r>
    </w:p>
    <w:p w:rsidR="00000000" w:rsidDel="00000000" w:rsidP="00000000" w:rsidRDefault="00000000" w:rsidRPr="00000000" w14:paraId="00000013">
      <w:pPr>
        <w:numPr>
          <w:ilvl w:val="0"/>
          <w:numId w:val="5"/>
        </w:numPr>
        <w:ind w:left="720" w:hanging="360"/>
        <w:rPr>
          <w:u w:val="none"/>
        </w:rPr>
      </w:pPr>
      <w:r w:rsidDel="00000000" w:rsidR="00000000" w:rsidRPr="00000000">
        <w:rPr>
          <w:b w:val="1"/>
          <w:bCs w:val="1"/>
          <w:rtl w:val="0"/>
        </w:rPr>
        <w:t xml:space="preserve">Gelişmeye Açık Yönler:</w:t>
      </w:r>
      <w:r w:rsidDel="00000000" w:rsidR="00000000" w:rsidRPr="00000000">
        <w:rPr>
          <w:rtl w:val="0"/>
        </w:rPr>
        <w:t xml:space="preserve">  Üniversite bünyesindeki staj ve uygulamalı eğitim imkanlarının yeterliliği (%79,62).</w:t>
      </w:r>
    </w:p>
    <w:p w:rsidR="00000000" w:rsidDel="00000000" w:rsidP="00000000" w:rsidRDefault="00000000" w:rsidRPr="00000000" w14:paraId="00000014">
      <w:pPr>
        <w:pStyle w:val="Heading5"/>
        <w:rPr/>
      </w:pPr>
      <w:bookmarkStart w:colFirst="0" w:colLast="0" w:name="_l3wehuo2qrxq" w:id="5"/>
      <w:bookmarkEnd w:id="5"/>
      <w:r w:rsidDel="00000000" w:rsidR="00000000" w:rsidRPr="00000000">
        <w:rPr>
          <w:rtl w:val="0"/>
        </w:rPr>
        <w:t xml:space="preserve">2. Yönetim, Liderlik ve Aidiyet (%77,17)</w:t>
      </w:r>
    </w:p>
    <w:p w:rsidR="00000000" w:rsidDel="00000000" w:rsidP="00000000" w:rsidRDefault="00000000" w:rsidRPr="00000000" w14:paraId="00000015">
      <w:pPr>
        <w:numPr>
          <w:ilvl w:val="0"/>
          <w:numId w:val="3"/>
        </w:numPr>
        <w:ind w:left="720" w:hanging="360"/>
        <w:rPr>
          <w:b w:val="1"/>
          <w:bCs w:val="1"/>
          <w:u w:val="none"/>
        </w:rPr>
      </w:pPr>
      <w:r w:rsidDel="00000000" w:rsidR="00000000" w:rsidRPr="00000000">
        <w:rPr>
          <w:b w:val="1"/>
          <w:bCs w:val="1"/>
          <w:rtl w:val="0"/>
        </w:rPr>
        <w:t xml:space="preserve">Güçlü Yönler:</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Üniversite yönetiminin öğrenci sorun ve önerilerine karşı duyarlılığı.</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Görüşlerin sunulabileceği iletişim kanallarının mevcudiyeti.</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Bireysel farklılıklara gösterilen saygı.</w:t>
      </w:r>
    </w:p>
    <w:p w:rsidR="00000000" w:rsidDel="00000000" w:rsidP="00000000" w:rsidRDefault="00000000" w:rsidRPr="00000000" w14:paraId="00000019">
      <w:pPr>
        <w:numPr>
          <w:ilvl w:val="0"/>
          <w:numId w:val="3"/>
        </w:numPr>
        <w:ind w:left="720" w:hanging="360"/>
        <w:rPr>
          <w:u w:val="none"/>
        </w:rPr>
      </w:pPr>
      <w:r w:rsidDel="00000000" w:rsidR="00000000" w:rsidRPr="00000000">
        <w:rPr>
          <w:b w:val="1"/>
          <w:bCs w:val="1"/>
          <w:rtl w:val="0"/>
        </w:rPr>
        <w:t xml:space="preserve">Gelişmeye Açık Yönler:</w:t>
      </w:r>
      <w:r w:rsidDel="00000000" w:rsidR="00000000" w:rsidRPr="00000000">
        <w:rPr>
          <w:rtl w:val="0"/>
        </w:rPr>
        <w:t xml:space="preserve">  Erasmus ve Farabi gibi öğrenci değişim programları hakkındaki bilgilendirmelerin yeterliliği (%73,96).</w:t>
      </w:r>
    </w:p>
    <w:p w:rsidR="00000000" w:rsidDel="00000000" w:rsidP="00000000" w:rsidRDefault="00000000" w:rsidRPr="00000000" w14:paraId="0000001A">
      <w:pPr>
        <w:pStyle w:val="Heading5"/>
        <w:rPr/>
      </w:pPr>
      <w:bookmarkStart w:colFirst="0" w:colLast="0" w:name="_nbp9i49qijil" w:id="6"/>
      <w:bookmarkEnd w:id="6"/>
      <w:r w:rsidDel="00000000" w:rsidR="00000000" w:rsidRPr="00000000">
        <w:rPr>
          <w:rtl w:val="0"/>
        </w:rPr>
        <w:t xml:space="preserve">3. Toplumsal Katkı (%77,74)</w:t>
      </w:r>
    </w:p>
    <w:p w:rsidR="00000000" w:rsidDel="00000000" w:rsidP="00000000" w:rsidRDefault="00000000" w:rsidRPr="00000000" w14:paraId="0000001B">
      <w:pPr>
        <w:numPr>
          <w:ilvl w:val="0"/>
          <w:numId w:val="6"/>
        </w:numPr>
        <w:ind w:left="720" w:hanging="360"/>
        <w:rPr>
          <w:b w:val="1"/>
          <w:bCs w:val="1"/>
          <w:u w:val="none"/>
        </w:rPr>
      </w:pPr>
      <w:r w:rsidDel="00000000" w:rsidR="00000000" w:rsidRPr="00000000">
        <w:rPr>
          <w:b w:val="1"/>
          <w:bCs w:val="1"/>
          <w:rtl w:val="0"/>
        </w:rPr>
        <w:t xml:space="preserve">Güçlü Yönler:</w:t>
      </w:r>
    </w:p>
    <w:p w:rsidR="00000000" w:rsidDel="00000000" w:rsidP="00000000" w:rsidRDefault="00000000" w:rsidRPr="00000000" w14:paraId="0000001C">
      <w:pPr>
        <w:numPr>
          <w:ilvl w:val="0"/>
          <w:numId w:val="6"/>
        </w:numPr>
        <w:ind w:left="720" w:hanging="360"/>
        <w:rPr>
          <w:u w:val="none"/>
        </w:rPr>
      </w:pPr>
      <w:r w:rsidDel="00000000" w:rsidR="00000000" w:rsidRPr="00000000">
        <w:rPr>
          <w:rtl w:val="0"/>
        </w:rPr>
        <w:t xml:space="preserve">Sivil toplum kuruluşlarıyla yürütülen ortak çalışmalar.</w:t>
      </w:r>
    </w:p>
    <w:p w:rsidR="00000000" w:rsidDel="00000000" w:rsidP="00000000" w:rsidRDefault="00000000" w:rsidRPr="00000000" w14:paraId="0000001D">
      <w:pPr>
        <w:numPr>
          <w:ilvl w:val="0"/>
          <w:numId w:val="6"/>
        </w:numPr>
        <w:ind w:left="720" w:hanging="360"/>
        <w:rPr>
          <w:u w:val="none"/>
        </w:rPr>
      </w:pPr>
      <w:r w:rsidDel="00000000" w:rsidR="00000000" w:rsidRPr="00000000">
        <w:rPr>
          <w:rtl w:val="0"/>
        </w:rPr>
        <w:t xml:space="preserve">Üniversite etkinliklerinin topluma sağladığı katkı.</w:t>
      </w:r>
    </w:p>
    <w:p w:rsidR="00000000" w:rsidDel="00000000" w:rsidP="00000000" w:rsidRDefault="00000000" w:rsidRPr="00000000" w14:paraId="0000001E">
      <w:pPr>
        <w:numPr>
          <w:ilvl w:val="0"/>
          <w:numId w:val="6"/>
        </w:numPr>
        <w:ind w:left="720" w:hanging="360"/>
        <w:rPr>
          <w:u w:val="none"/>
        </w:rPr>
      </w:pPr>
      <w:r w:rsidDel="00000000" w:rsidR="00000000" w:rsidRPr="00000000">
        <w:rPr>
          <w:b w:val="1"/>
          <w:bCs w:val="1"/>
          <w:rtl w:val="0"/>
        </w:rPr>
        <w:t xml:space="preserve">Gelişmeye Açık Yönler:</w:t>
      </w:r>
      <w:r w:rsidDel="00000000" w:rsidR="00000000" w:rsidRPr="00000000">
        <w:rPr>
          <w:rtl w:val="0"/>
        </w:rPr>
        <w:t xml:space="preserve">  Öğrenci topluluklarının toplumsal beklentilere duyarlı etkinlikler gerçekleştirme düzeyi (%72,45).</w:t>
      </w:r>
    </w:p>
    <w:p w:rsidR="00000000" w:rsidDel="00000000" w:rsidP="00000000" w:rsidRDefault="00000000" w:rsidRPr="00000000" w14:paraId="0000001F">
      <w:pPr>
        <w:pStyle w:val="Heading5"/>
        <w:rPr/>
      </w:pPr>
      <w:bookmarkStart w:colFirst="0" w:colLast="0" w:name="_nd7j9gprao2l" w:id="7"/>
      <w:bookmarkEnd w:id="7"/>
      <w:r w:rsidDel="00000000" w:rsidR="00000000" w:rsidRPr="00000000">
        <w:rPr>
          <w:rtl w:val="0"/>
        </w:rPr>
        <w:t xml:space="preserve">4. Araştırma ve Geliştirme (Ar-Ge) (%68,05)</w:t>
      </w:r>
    </w:p>
    <w:p w:rsidR="00000000" w:rsidDel="00000000" w:rsidP="00000000" w:rsidRDefault="00000000" w:rsidRPr="00000000" w14:paraId="00000020">
      <w:pPr>
        <w:rPr/>
      </w:pPr>
      <w:r w:rsidDel="00000000" w:rsidR="00000000" w:rsidRPr="00000000">
        <w:rPr>
          <w:rtl w:val="0"/>
        </w:rPr>
        <w:t xml:space="preserve">Bu alan, anketteki en düşük memnuniyet skoruna sahip kategoridir.</w:t>
      </w:r>
    </w:p>
    <w:p w:rsidR="00000000" w:rsidDel="00000000" w:rsidP="00000000" w:rsidRDefault="00000000" w:rsidRPr="00000000" w14:paraId="00000021">
      <w:pPr>
        <w:numPr>
          <w:ilvl w:val="0"/>
          <w:numId w:val="4"/>
        </w:numPr>
        <w:ind w:left="720" w:hanging="360"/>
        <w:rPr>
          <w:b w:val="1"/>
          <w:bCs w:val="1"/>
          <w:u w:val="none"/>
        </w:rPr>
      </w:pPr>
      <w:r w:rsidDel="00000000" w:rsidR="00000000" w:rsidRPr="00000000">
        <w:rPr>
          <w:b w:val="1"/>
          <w:bCs w:val="1"/>
          <w:rtl w:val="0"/>
        </w:rPr>
        <w:t xml:space="preserve">Güçlü Yönler:</w:t>
      </w:r>
    </w:p>
    <w:p w:rsidR="00000000" w:rsidDel="00000000" w:rsidP="00000000" w:rsidRDefault="00000000" w:rsidRPr="00000000" w14:paraId="00000022">
      <w:pPr>
        <w:numPr>
          <w:ilvl w:val="0"/>
          <w:numId w:val="4"/>
        </w:numPr>
        <w:ind w:left="720" w:hanging="360"/>
        <w:rPr>
          <w:u w:val="none"/>
        </w:rPr>
      </w:pPr>
      <w:r w:rsidDel="00000000" w:rsidR="00000000" w:rsidRPr="00000000">
        <w:rPr>
          <w:rtl w:val="0"/>
        </w:rPr>
        <w:t xml:space="preserve">Öğrenci araştırmalarının teşvik edilmesi.</w:t>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Kütüphane hizmetlerinin yeterliliği.</w:t>
      </w:r>
    </w:p>
    <w:p w:rsidR="00000000" w:rsidDel="00000000" w:rsidP="00000000" w:rsidRDefault="00000000" w:rsidRPr="00000000" w14:paraId="00000024">
      <w:pPr>
        <w:numPr>
          <w:ilvl w:val="0"/>
          <w:numId w:val="4"/>
        </w:numPr>
        <w:ind w:left="720" w:hanging="360"/>
        <w:rPr>
          <w:u w:val="none"/>
        </w:rPr>
      </w:pPr>
      <w:r w:rsidDel="00000000" w:rsidR="00000000" w:rsidRPr="00000000">
        <w:rPr>
          <w:b w:val="1"/>
          <w:bCs w:val="1"/>
          <w:rtl w:val="0"/>
        </w:rPr>
        <w:t xml:space="preserve">Gelişmeye Açık Yönler:</w:t>
      </w:r>
      <w:r w:rsidDel="00000000" w:rsidR="00000000" w:rsidRPr="00000000">
        <w:rPr>
          <w:rtl w:val="0"/>
        </w:rPr>
        <w:t xml:space="preserve">  Üniversite bünyesindeki çalışma alanlarının (etüt, salon vb.) yeterliliği (%61,13).</w:t>
      </w:r>
    </w:p>
    <w:p w:rsidR="00000000" w:rsidDel="00000000" w:rsidP="00000000" w:rsidRDefault="00000000" w:rsidRPr="00000000" w14:paraId="00000025">
      <w:pPr>
        <w:pStyle w:val="Heading4"/>
        <w:rPr/>
      </w:pPr>
      <w:bookmarkStart w:colFirst="0" w:colLast="0" w:name="_t801x0u52w8r" w:id="8"/>
      <w:bookmarkEnd w:id="8"/>
      <w:r w:rsidDel="00000000" w:rsidR="00000000" w:rsidRPr="00000000">
        <w:rPr>
          <w:rtl w:val="0"/>
        </w:rPr>
        <w:t xml:space="preserve">Seçilmiş Soru Dağılımları ve İstatistiksel Analiz</w:t>
      </w:r>
    </w:p>
    <w:p w:rsidR="00000000" w:rsidDel="00000000" w:rsidP="00000000" w:rsidRDefault="00000000" w:rsidRPr="00000000" w14:paraId="00000026">
      <w:pPr>
        <w:rPr/>
      </w:pPr>
      <w:r w:rsidDel="00000000" w:rsidR="00000000" w:rsidRPr="00000000">
        <w:rPr>
          <w:rtl w:val="0"/>
        </w:rPr>
        <w:t xml:space="preserve">Bazı kritik sorulara verilen yanıtların 5'li likert ölçeğindeki (1: En Düşük, 5: En Yüksek) dağılımı şu şekildedir:| Soru | 1 (%) | 2 (%) | 3 (%) | 4 (%) | 5 (%) || ------ | ------ | ------ | ------ | ------ | ------ || Bireysel farklılıklara saygı gösterilmesi | 1,89 | 5,66 | 22,64 | 18,87 | 50,94 || Öğretim elemanlarının kariyer gelişimine katkısı | 0,00 | 5,66 | 11,32 | 26,42 | 56,60 || Staj/uygulamalı eğitim yeterliliği | 7,55 | 5,66 | 16,98 | 20,75 | 49,06 || Yeterli çalışma alanı bulunması | 18,87 | 16,98 | 26,42 | 15,09 | 22,64 |</w:t>
      </w:r>
    </w:p>
    <w:p w:rsidR="00000000" w:rsidDel="00000000" w:rsidP="00000000" w:rsidRDefault="00000000" w:rsidRPr="00000000" w14:paraId="00000027">
      <w:pPr>
        <w:pStyle w:val="Heading4"/>
        <w:rPr/>
      </w:pPr>
      <w:bookmarkStart w:colFirst="0" w:colLast="0" w:name="_rdl39yyp2oqn" w:id="9"/>
      <w:bookmarkEnd w:id="9"/>
      <w:r w:rsidDel="00000000" w:rsidR="00000000" w:rsidRPr="00000000">
        <w:rPr>
          <w:rtl w:val="0"/>
        </w:rPr>
        <w:t xml:space="preserve">Öğrenci Perspektifinden Üniversitenin Güçlü Yanları</w:t>
      </w:r>
    </w:p>
    <w:p w:rsidR="00000000" w:rsidDel="00000000" w:rsidP="00000000" w:rsidRDefault="00000000" w:rsidRPr="00000000" w14:paraId="00000028">
      <w:pPr>
        <w:rPr/>
      </w:pPr>
      <w:r w:rsidDel="00000000" w:rsidR="00000000" w:rsidRPr="00000000">
        <w:rPr>
          <w:rtl w:val="0"/>
        </w:rPr>
        <w:t xml:space="preserve">Anketin açık uçlu bölümünde öğrencilerin "Üniversitenin en güçlü yanı nedir?" sorusuna verdikleri yanıtlar, akademik kadroya duyulan yüksek güveni kanıtlamaktadır. Öne çıkan temalar şunlardır:</w:t>
      </w:r>
    </w:p>
    <w:p w:rsidR="00000000" w:rsidDel="00000000" w:rsidP="00000000" w:rsidRDefault="00000000" w:rsidRPr="00000000" w14:paraId="00000029">
      <w:pPr>
        <w:numPr>
          <w:ilvl w:val="0"/>
          <w:numId w:val="1"/>
        </w:numPr>
        <w:ind w:left="720" w:hanging="360"/>
        <w:rPr>
          <w:u w:val="none"/>
        </w:rPr>
      </w:pPr>
      <w:r w:rsidDel="00000000" w:rsidR="00000000" w:rsidRPr="00000000">
        <w:rPr>
          <w:b w:val="1"/>
          <w:bCs w:val="1"/>
          <w:rtl w:val="0"/>
        </w:rPr>
        <w:t xml:space="preserve">Akademik Kadro Niteliği:</w:t>
      </w:r>
      <w:r w:rsidDel="00000000" w:rsidR="00000000" w:rsidRPr="00000000">
        <w:rPr>
          <w:rtl w:val="0"/>
        </w:rPr>
        <w:t xml:space="preserve">  Yanıtların çok büyük bir kısmı doğrudan "Hocalar", "Öğretim üyeleri" ve "Akademisyenler" vurgusu yapmaktadır.</w:t>
      </w:r>
    </w:p>
    <w:p w:rsidR="00000000" w:rsidDel="00000000" w:rsidP="00000000" w:rsidRDefault="00000000" w:rsidRPr="00000000" w14:paraId="0000002A">
      <w:pPr>
        <w:numPr>
          <w:ilvl w:val="0"/>
          <w:numId w:val="1"/>
        </w:numPr>
        <w:ind w:left="720" w:hanging="360"/>
        <w:rPr>
          <w:u w:val="none"/>
        </w:rPr>
      </w:pPr>
      <w:r w:rsidDel="00000000" w:rsidR="00000000" w:rsidRPr="00000000">
        <w:rPr>
          <w:b w:val="1"/>
          <w:bCs w:val="1"/>
          <w:rtl w:val="0"/>
        </w:rPr>
        <w:t xml:space="preserve">Sektörel Deneyim:</w:t>
      </w:r>
      <w:r w:rsidDel="00000000" w:rsidR="00000000" w:rsidRPr="00000000">
        <w:rPr>
          <w:rtl w:val="0"/>
        </w:rPr>
        <w:t xml:space="preserve">  Öğretim görevlilerinin sektör içerisinden gelmesi ve tecrübelerini öğrencilere aktarmaları ("Sektöre dayalı eğitim", "Hocaların bölüm çıkışlı olması") en büyük avantaj olarak görülmektedir.</w:t>
      </w:r>
    </w:p>
    <w:p w:rsidR="00000000" w:rsidDel="00000000" w:rsidP="00000000" w:rsidRDefault="00000000" w:rsidRPr="00000000" w14:paraId="0000002B">
      <w:pPr>
        <w:numPr>
          <w:ilvl w:val="0"/>
          <w:numId w:val="1"/>
        </w:numPr>
        <w:ind w:left="720" w:hanging="360"/>
        <w:rPr>
          <w:u w:val="none"/>
        </w:rPr>
      </w:pPr>
      <w:r w:rsidDel="00000000" w:rsidR="00000000" w:rsidRPr="00000000">
        <w:rPr>
          <w:b w:val="1"/>
          <w:bCs w:val="1"/>
          <w:rtl w:val="0"/>
        </w:rPr>
        <w:t xml:space="preserve">Öğrenci Odaklılık:</w:t>
      </w:r>
      <w:r w:rsidDel="00000000" w:rsidR="00000000" w:rsidRPr="00000000">
        <w:rPr>
          <w:rtl w:val="0"/>
        </w:rPr>
        <w:t xml:space="preserve">  Eğitimin başarı odaklı olması ve öğretim elemanlarının samimi yaklaşımı ("Ümmühan Beste Hoca" gibi spesifik isimler belirtilmiştir) vurgulanmıştır.</w:t>
      </w:r>
    </w:p>
    <w:p w:rsidR="00000000" w:rsidDel="00000000" w:rsidP="00000000" w:rsidRDefault="00000000" w:rsidRPr="00000000" w14:paraId="0000002C">
      <w:pPr>
        <w:numPr>
          <w:ilvl w:val="0"/>
          <w:numId w:val="1"/>
        </w:numPr>
        <w:ind w:left="720" w:hanging="360"/>
        <w:rPr>
          <w:u w:val="none"/>
        </w:rPr>
      </w:pPr>
      <w:r w:rsidDel="00000000" w:rsidR="00000000" w:rsidRPr="00000000">
        <w:rPr>
          <w:b w:val="1"/>
          <w:bCs w:val="1"/>
          <w:rtl w:val="0"/>
        </w:rPr>
        <w:t xml:space="preserve">Kariyer Gelişimi:</w:t>
      </w:r>
      <w:r w:rsidDel="00000000" w:rsidR="00000000" w:rsidRPr="00000000">
        <w:rPr>
          <w:rtl w:val="0"/>
        </w:rPr>
        <w:t xml:space="preserve">  Eğitimin öğrencileri mesleğe hazırlama konusundaki etkinliği ve kariyer hedeflerine katkısı pozitif bir değer olarak ifade edilmiştir.</w:t>
      </w:r>
    </w:p>
    <w:p w:rsidR="00000000" w:rsidDel="00000000" w:rsidP="00000000" w:rsidRDefault="00000000" w:rsidRPr="00000000" w14:paraId="0000002D">
      <w:pPr>
        <w:pStyle w:val="Heading4"/>
        <w:rPr/>
      </w:pPr>
      <w:bookmarkStart w:colFirst="0" w:colLast="0" w:name="_4n114nbryua" w:id="10"/>
      <w:bookmarkEnd w:id="10"/>
      <w:r w:rsidDel="00000000" w:rsidR="00000000" w:rsidRPr="00000000">
        <w:rPr>
          <w:rtl w:val="0"/>
        </w:rPr>
        <w:t xml:space="preserve">Sonuç ve Değerlendirme</w:t>
      </w:r>
    </w:p>
    <w:p w:rsidR="00000000" w:rsidDel="00000000" w:rsidP="00000000" w:rsidRDefault="00000000" w:rsidRPr="00000000" w14:paraId="0000002E">
      <w:pPr>
        <w:rPr/>
      </w:pPr>
      <w:r w:rsidDel="00000000" w:rsidR="00000000" w:rsidRPr="00000000">
        <w:rPr>
          <w:rtl w:val="0"/>
        </w:rPr>
        <w:t xml:space="preserve">Analiz sonuçları, Ulaştırma Hizmetleri Bölümü'nün eğitim kalitesi ve akademik kadro performansı açısından öğrencilerden tam not aldığını göstermektedir. Ancak, fiziksel imkanların (çalışma alanları) iyileştirilmesi ve idari bilgilendirme süreçlerinin (değişim programları) daha şeffaf ve erişilebilir hale getirilmesi, genel memnuniyetin artırılması için kritik öneme sahiptir. Özellikle Ar-Ge kategorisindeki %68,05'lik skor, bu alanın öncelikli iyileştirme bölgesi olarak ele alınması gerektiğini ortaya koymaktadır.</w:t>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