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A497C" w:rsidTr="00DD077F">
        <w:tc>
          <w:tcPr>
            <w:tcW w:w="9062" w:type="dxa"/>
          </w:tcPr>
          <w:p w:rsidR="004974B7" w:rsidRPr="004A497C" w:rsidRDefault="00482A72" w:rsidP="00482A72">
            <w:pPr>
              <w:pStyle w:val="stBilgi"/>
              <w:jc w:val="center"/>
              <w:rPr>
                <w:sz w:val="22"/>
                <w:szCs w:val="22"/>
              </w:rPr>
            </w:pPr>
            <w:r w:rsidRPr="004A497C">
              <w:rPr>
                <w:b/>
                <w:sz w:val="22"/>
                <w:szCs w:val="22"/>
              </w:rPr>
              <w:t>BİRİM KALİTE KOMİSYONU TOPLANTISI</w:t>
            </w:r>
          </w:p>
        </w:tc>
      </w:tr>
    </w:tbl>
    <w:p w:rsidR="004974B7" w:rsidRPr="004A497C" w:rsidRDefault="004974B7" w:rsidP="004974B7">
      <w:pPr>
        <w:rPr>
          <w:sz w:val="22"/>
          <w:szCs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A497C" w:rsidTr="00DD077F">
        <w:tc>
          <w:tcPr>
            <w:tcW w:w="9067" w:type="dxa"/>
            <w:gridSpan w:val="2"/>
          </w:tcPr>
          <w:p w:rsidR="004974B7" w:rsidRPr="004A497C" w:rsidRDefault="004974B7" w:rsidP="00065CF4">
            <w:pPr>
              <w:pStyle w:val="msobodytextindent"/>
              <w:jc w:val="center"/>
              <w:rPr>
                <w:b/>
                <w:sz w:val="22"/>
                <w:szCs w:val="22"/>
              </w:rPr>
            </w:pPr>
            <w:r w:rsidRPr="004A497C">
              <w:rPr>
                <w:b/>
                <w:sz w:val="22"/>
                <w:szCs w:val="22"/>
              </w:rPr>
              <w:t>GÜNDEM MADDELERİ</w:t>
            </w:r>
          </w:p>
        </w:tc>
      </w:tr>
      <w:tr w:rsidR="004974B7" w:rsidRPr="004A497C" w:rsidTr="00DD077F">
        <w:tc>
          <w:tcPr>
            <w:tcW w:w="421" w:type="dxa"/>
          </w:tcPr>
          <w:p w:rsidR="004974B7" w:rsidRPr="004A497C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46" w:type="dxa"/>
          </w:tcPr>
          <w:p w:rsidR="004974B7" w:rsidRPr="004A497C" w:rsidRDefault="00482A72" w:rsidP="00482A72">
            <w:pPr>
              <w:pStyle w:val="msobodytextindent"/>
              <w:rPr>
                <w:sz w:val="22"/>
                <w:szCs w:val="22"/>
              </w:rPr>
            </w:pPr>
            <w:r w:rsidRPr="004A497C">
              <w:rPr>
                <w:sz w:val="22"/>
                <w:szCs w:val="22"/>
              </w:rPr>
              <w:t>2025 yılı Birim Öz Değerlendirme Raporunun yazımına ilişkin faaliyet, zaman ve iş gücü planlamasının görüşülmesi.</w:t>
            </w:r>
          </w:p>
        </w:tc>
      </w:tr>
    </w:tbl>
    <w:p w:rsidR="004974B7" w:rsidRPr="004A497C" w:rsidRDefault="004974B7" w:rsidP="004974B7">
      <w:pPr>
        <w:pStyle w:val="msobodytextindent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A497C" w:rsidTr="00334243">
        <w:tc>
          <w:tcPr>
            <w:tcW w:w="9062" w:type="dxa"/>
          </w:tcPr>
          <w:p w:rsidR="004974B7" w:rsidRPr="004A497C" w:rsidRDefault="004974B7" w:rsidP="00065CF4">
            <w:pPr>
              <w:pStyle w:val="msobodytextindent"/>
              <w:jc w:val="center"/>
              <w:rPr>
                <w:b/>
                <w:sz w:val="22"/>
                <w:szCs w:val="22"/>
              </w:rPr>
            </w:pPr>
            <w:r w:rsidRPr="004A497C">
              <w:rPr>
                <w:b/>
                <w:sz w:val="22"/>
                <w:szCs w:val="22"/>
              </w:rPr>
              <w:t>KAPSAM</w:t>
            </w:r>
          </w:p>
        </w:tc>
      </w:tr>
      <w:tr w:rsidR="004974B7" w:rsidRPr="004A497C" w:rsidTr="00334243">
        <w:trPr>
          <w:trHeight w:val="4064"/>
        </w:trPr>
        <w:tc>
          <w:tcPr>
            <w:tcW w:w="9062" w:type="dxa"/>
          </w:tcPr>
          <w:p w:rsidR="00482A72" w:rsidRPr="004A497C" w:rsidRDefault="00482A72" w:rsidP="00482A72">
            <w:pPr>
              <w:rPr>
                <w:b/>
                <w:sz w:val="22"/>
                <w:szCs w:val="22"/>
              </w:rPr>
            </w:pPr>
            <w:r w:rsidRPr="004A497C">
              <w:rPr>
                <w:b/>
                <w:sz w:val="22"/>
                <w:szCs w:val="22"/>
              </w:rPr>
              <w:t>Toplantıya İlişkin Bilgi:</w:t>
            </w:r>
          </w:p>
          <w:p w:rsidR="00482A72" w:rsidRPr="004A497C" w:rsidRDefault="00482A72" w:rsidP="00482A72">
            <w:pPr>
              <w:rPr>
                <w:sz w:val="22"/>
                <w:szCs w:val="22"/>
              </w:rPr>
            </w:pPr>
          </w:p>
          <w:p w:rsidR="00482A72" w:rsidRPr="004A497C" w:rsidRDefault="00482A72" w:rsidP="00482A72">
            <w:pPr>
              <w:rPr>
                <w:sz w:val="22"/>
                <w:szCs w:val="22"/>
              </w:rPr>
            </w:pPr>
            <w:r w:rsidRPr="004A497C">
              <w:rPr>
                <w:sz w:val="22"/>
                <w:szCs w:val="22"/>
              </w:rPr>
              <w:t xml:space="preserve">Belirtilen tarih ve saatte, Fakültemiz Kalite Komisyonu üyelerinin katılımıyla “2025 Yılı Birim Öz Değerlendirme Raporu Hazırlık Toplantısı” gerçekleştirilmiştir. Toplantıda, </w:t>
            </w:r>
            <w:r w:rsidR="002E227E">
              <w:rPr>
                <w:sz w:val="22"/>
                <w:szCs w:val="22"/>
              </w:rPr>
              <w:t>B</w:t>
            </w:r>
            <w:r w:rsidRPr="004A497C">
              <w:rPr>
                <w:sz w:val="22"/>
                <w:szCs w:val="22"/>
              </w:rPr>
              <w:t>irim Öz Değerlendirme Raporunun hazırlanması sürecinde izlenecek yöntem, kullanılacak verilerin temini, zaman planlaması ve ilgili sorumluluklar görüşülmüş; yapılan değerlendirmeler sonucunda aşağıdaki kararlar alınmıştır.</w:t>
            </w:r>
          </w:p>
          <w:p w:rsidR="004974B7" w:rsidRPr="004A497C" w:rsidRDefault="004974B7" w:rsidP="00065CF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82A72" w:rsidRPr="004A497C" w:rsidRDefault="00482A72" w:rsidP="00482A72">
            <w:pPr>
              <w:rPr>
                <w:sz w:val="22"/>
                <w:szCs w:val="22"/>
              </w:rPr>
            </w:pPr>
            <w:r w:rsidRPr="004A497C">
              <w:rPr>
                <w:b/>
                <w:sz w:val="22"/>
                <w:szCs w:val="22"/>
              </w:rPr>
              <w:t>Alınan Kararlar:</w:t>
            </w:r>
          </w:p>
          <w:p w:rsidR="00482A72" w:rsidRPr="004A497C" w:rsidRDefault="00482A72" w:rsidP="00482A72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482A72" w:rsidRPr="004A497C" w:rsidRDefault="00482A72" w:rsidP="00482A72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4A497C">
              <w:rPr>
                <w:rFonts w:ascii="Times New Roman" w:hAnsi="Times New Roman" w:cs="Times New Roman"/>
              </w:rPr>
              <w:t xml:space="preserve">1. 2025 </w:t>
            </w:r>
            <w:proofErr w:type="spellStart"/>
            <w:r w:rsidRPr="004A497C">
              <w:rPr>
                <w:rFonts w:ascii="Times New Roman" w:hAnsi="Times New Roman" w:cs="Times New Roman"/>
              </w:rPr>
              <w:t>yılı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Birim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Özdeğerlendirme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Raporunun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yazımında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gerekli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olan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akademik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yayın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verilerinin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497C">
              <w:rPr>
                <w:rFonts w:ascii="Times New Roman" w:hAnsi="Times New Roman" w:cs="Times New Roman"/>
              </w:rPr>
              <w:t>Fakültemiz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Bölüm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Başkanlıklarından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28 </w:t>
            </w:r>
            <w:proofErr w:type="spellStart"/>
            <w:r w:rsidRPr="004A497C">
              <w:rPr>
                <w:rFonts w:ascii="Times New Roman" w:hAnsi="Times New Roman" w:cs="Times New Roman"/>
              </w:rPr>
              <w:t>Kasım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 w:rsidRPr="004A497C">
              <w:rPr>
                <w:rFonts w:ascii="Times New Roman" w:hAnsi="Times New Roman" w:cs="Times New Roman"/>
              </w:rPr>
              <w:t>tarihine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kadar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temin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edilmesine</w:t>
            </w:r>
            <w:proofErr w:type="spellEnd"/>
            <w:r w:rsidRPr="004A497C">
              <w:rPr>
                <w:rFonts w:ascii="Times New Roman" w:hAnsi="Times New Roman" w:cs="Times New Roman"/>
              </w:rPr>
              <w:t>,</w:t>
            </w:r>
          </w:p>
          <w:p w:rsidR="00482A72" w:rsidRPr="004A497C" w:rsidRDefault="00482A72" w:rsidP="00482A72">
            <w:pPr>
              <w:pStyle w:val="ListeNumaras"/>
              <w:numPr>
                <w:ilvl w:val="0"/>
                <w:numId w:val="0"/>
              </w:numPr>
              <w:ind w:left="22"/>
              <w:jc w:val="both"/>
              <w:rPr>
                <w:rFonts w:ascii="Times New Roman" w:hAnsi="Times New Roman" w:cs="Times New Roman"/>
              </w:rPr>
            </w:pPr>
            <w:r w:rsidRPr="004A497C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A497C">
              <w:rPr>
                <w:rFonts w:ascii="Times New Roman" w:hAnsi="Times New Roman" w:cs="Times New Roman"/>
              </w:rPr>
              <w:t>Raporun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yazımında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gerekli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olan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Liderlik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497C">
              <w:rPr>
                <w:rFonts w:ascii="Times New Roman" w:hAnsi="Times New Roman" w:cs="Times New Roman"/>
              </w:rPr>
              <w:t>Yönetişim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497C">
              <w:rPr>
                <w:rFonts w:ascii="Times New Roman" w:hAnsi="Times New Roman" w:cs="Times New Roman"/>
              </w:rPr>
              <w:t>Kalite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ve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Ar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-Ge </w:t>
            </w:r>
            <w:proofErr w:type="spellStart"/>
            <w:r w:rsidRPr="004A497C">
              <w:rPr>
                <w:rFonts w:ascii="Times New Roman" w:hAnsi="Times New Roman" w:cs="Times New Roman"/>
              </w:rPr>
              <w:t>verilerinin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497C">
              <w:rPr>
                <w:rFonts w:ascii="Times New Roman" w:hAnsi="Times New Roman" w:cs="Times New Roman"/>
              </w:rPr>
              <w:t>Üniversitemizin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ilgili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birimlerinden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 w:rsidRPr="004A497C">
              <w:rPr>
                <w:rFonts w:ascii="Times New Roman" w:hAnsi="Times New Roman" w:cs="Times New Roman"/>
              </w:rPr>
              <w:t>Kasım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 w:rsidRPr="004A497C">
              <w:rPr>
                <w:rFonts w:ascii="Times New Roman" w:hAnsi="Times New Roman" w:cs="Times New Roman"/>
              </w:rPr>
              <w:t>tarihine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kadar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temin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edilmesine</w:t>
            </w:r>
            <w:proofErr w:type="spellEnd"/>
            <w:r w:rsidRPr="004A497C">
              <w:rPr>
                <w:rFonts w:ascii="Times New Roman" w:hAnsi="Times New Roman" w:cs="Times New Roman"/>
              </w:rPr>
              <w:t>,</w:t>
            </w:r>
          </w:p>
          <w:p w:rsidR="00482A72" w:rsidRPr="004A497C" w:rsidRDefault="00482A72" w:rsidP="00482A72">
            <w:pPr>
              <w:pStyle w:val="ListeNumaras"/>
              <w:numPr>
                <w:ilvl w:val="0"/>
                <w:numId w:val="0"/>
              </w:numPr>
              <w:ind w:left="22"/>
              <w:rPr>
                <w:rFonts w:ascii="Times New Roman" w:hAnsi="Times New Roman" w:cs="Times New Roman"/>
              </w:rPr>
            </w:pPr>
            <w:r w:rsidRPr="004A497C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A497C">
              <w:rPr>
                <w:rFonts w:ascii="Times New Roman" w:hAnsi="Times New Roman" w:cs="Times New Roman"/>
              </w:rPr>
              <w:t>Akademik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personelin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YÖKSİS </w:t>
            </w:r>
            <w:proofErr w:type="spellStart"/>
            <w:r w:rsidRPr="004A497C">
              <w:rPr>
                <w:rFonts w:ascii="Times New Roman" w:hAnsi="Times New Roman" w:cs="Times New Roman"/>
              </w:rPr>
              <w:t>bilgilerinin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güncellenmesinin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sağlanmasına</w:t>
            </w:r>
            <w:proofErr w:type="spellEnd"/>
            <w:r w:rsidRPr="004A497C">
              <w:rPr>
                <w:rFonts w:ascii="Times New Roman" w:hAnsi="Times New Roman" w:cs="Times New Roman"/>
              </w:rPr>
              <w:t>,</w:t>
            </w:r>
          </w:p>
          <w:p w:rsidR="00482A72" w:rsidRPr="004A497C" w:rsidRDefault="00482A72" w:rsidP="00482A72">
            <w:pPr>
              <w:pStyle w:val="ListeNumaras"/>
              <w:numPr>
                <w:ilvl w:val="0"/>
                <w:numId w:val="0"/>
              </w:numPr>
              <w:ind w:left="22"/>
              <w:rPr>
                <w:rFonts w:ascii="Times New Roman" w:hAnsi="Times New Roman" w:cs="Times New Roman"/>
              </w:rPr>
            </w:pPr>
            <w:r w:rsidRPr="004A497C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A497C">
              <w:rPr>
                <w:rFonts w:ascii="Times New Roman" w:hAnsi="Times New Roman" w:cs="Times New Roman"/>
              </w:rPr>
              <w:t>Fakültemiz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Bölümlerinin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AKTS </w:t>
            </w:r>
            <w:proofErr w:type="spellStart"/>
            <w:r w:rsidRPr="004A497C">
              <w:rPr>
                <w:rFonts w:ascii="Times New Roman" w:hAnsi="Times New Roman" w:cs="Times New Roman"/>
              </w:rPr>
              <w:t>Bilgi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Paketlerini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güncellemelerinin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sağlanmasına</w:t>
            </w:r>
            <w:proofErr w:type="spellEnd"/>
            <w:r w:rsidRPr="004A497C">
              <w:rPr>
                <w:rFonts w:ascii="Times New Roman" w:hAnsi="Times New Roman" w:cs="Times New Roman"/>
              </w:rPr>
              <w:t>,</w:t>
            </w:r>
          </w:p>
          <w:p w:rsidR="00482A72" w:rsidRPr="004A497C" w:rsidRDefault="00482A72" w:rsidP="00482A72">
            <w:pPr>
              <w:pStyle w:val="ListeNumaras"/>
              <w:numPr>
                <w:ilvl w:val="0"/>
                <w:numId w:val="0"/>
              </w:numPr>
              <w:ind w:left="22"/>
              <w:rPr>
                <w:rFonts w:ascii="Times New Roman" w:hAnsi="Times New Roman" w:cs="Times New Roman"/>
              </w:rPr>
            </w:pPr>
            <w:r w:rsidRPr="004A497C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A497C">
              <w:rPr>
                <w:rFonts w:ascii="Times New Roman" w:hAnsi="Times New Roman" w:cs="Times New Roman"/>
              </w:rPr>
              <w:t>Güncellenen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Fakülte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Kalite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Komisyonu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üyelerinin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Fakülte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web </w:t>
            </w:r>
            <w:proofErr w:type="spellStart"/>
            <w:r w:rsidRPr="004A497C">
              <w:rPr>
                <w:rFonts w:ascii="Times New Roman" w:hAnsi="Times New Roman" w:cs="Times New Roman"/>
              </w:rPr>
              <w:t>sayfasında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yayımlanmasına</w:t>
            </w:r>
            <w:proofErr w:type="spellEnd"/>
            <w:r w:rsidRPr="004A497C">
              <w:rPr>
                <w:rFonts w:ascii="Times New Roman" w:hAnsi="Times New Roman" w:cs="Times New Roman"/>
              </w:rPr>
              <w:t>,</w:t>
            </w:r>
          </w:p>
          <w:p w:rsidR="004974B7" w:rsidRPr="004A497C" w:rsidRDefault="00482A72" w:rsidP="00E26C5A">
            <w:pPr>
              <w:pStyle w:val="ListeNumaras"/>
              <w:numPr>
                <w:ilvl w:val="0"/>
                <w:numId w:val="0"/>
              </w:numPr>
              <w:ind w:left="22"/>
              <w:jc w:val="both"/>
              <w:rPr>
                <w:rFonts w:ascii="Times New Roman" w:hAnsi="Times New Roman" w:cs="Times New Roman"/>
              </w:rPr>
            </w:pPr>
            <w:r w:rsidRPr="004A497C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4A497C">
              <w:rPr>
                <w:rFonts w:ascii="Times New Roman" w:hAnsi="Times New Roman" w:cs="Times New Roman"/>
              </w:rPr>
              <w:t>Kalite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Komisyonu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toplantı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tutanaklarının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Fakült</w:t>
            </w:r>
            <w:r w:rsidR="00184D69" w:rsidRPr="004A497C">
              <w:rPr>
                <w:rFonts w:ascii="Times New Roman" w:hAnsi="Times New Roman" w:cs="Times New Roman"/>
              </w:rPr>
              <w:t>e</w:t>
            </w:r>
            <w:proofErr w:type="spellEnd"/>
            <w:r w:rsidR="00184D69" w:rsidRPr="004A497C">
              <w:rPr>
                <w:rFonts w:ascii="Times New Roman" w:hAnsi="Times New Roman" w:cs="Times New Roman"/>
              </w:rPr>
              <w:t xml:space="preserve"> web </w:t>
            </w:r>
            <w:proofErr w:type="spellStart"/>
            <w:r w:rsidR="00184D69" w:rsidRPr="004A497C">
              <w:rPr>
                <w:rFonts w:ascii="Times New Roman" w:hAnsi="Times New Roman" w:cs="Times New Roman"/>
              </w:rPr>
              <w:t>sayfasında</w:t>
            </w:r>
            <w:proofErr w:type="spellEnd"/>
            <w:r w:rsidR="00184D69"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4D69" w:rsidRPr="004A497C">
              <w:rPr>
                <w:rFonts w:ascii="Times New Roman" w:hAnsi="Times New Roman" w:cs="Times New Roman"/>
              </w:rPr>
              <w:t>yayımlanmasına</w:t>
            </w:r>
            <w:bookmarkStart w:id="0" w:name="_GoBack"/>
            <w:bookmarkEnd w:id="0"/>
            <w:proofErr w:type="spellEnd"/>
            <w:r w:rsidR="00184D69"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karar</w:t>
            </w:r>
            <w:proofErr w:type="spellEnd"/>
            <w:r w:rsidRPr="004A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97C">
              <w:rPr>
                <w:rFonts w:ascii="Times New Roman" w:hAnsi="Times New Roman" w:cs="Times New Roman"/>
              </w:rPr>
              <w:t>verilmiştir</w:t>
            </w:r>
            <w:proofErr w:type="spellEnd"/>
            <w:r w:rsidRPr="004A497C">
              <w:rPr>
                <w:rFonts w:ascii="Times New Roman" w:hAnsi="Times New Roman" w:cs="Times New Roman"/>
              </w:rPr>
              <w:t>.</w:t>
            </w:r>
          </w:p>
        </w:tc>
      </w:tr>
      <w:tr w:rsidR="004974B7" w:rsidRPr="004A497C" w:rsidTr="00334243">
        <w:trPr>
          <w:trHeight w:val="418"/>
        </w:trPr>
        <w:tc>
          <w:tcPr>
            <w:tcW w:w="9062" w:type="dxa"/>
            <w:vAlign w:val="center"/>
          </w:tcPr>
          <w:p w:rsidR="004974B7" w:rsidRPr="004A497C" w:rsidRDefault="004974B7" w:rsidP="00065C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497C">
              <w:rPr>
                <w:b/>
                <w:color w:val="000000" w:themeColor="text1"/>
                <w:sz w:val="22"/>
                <w:szCs w:val="22"/>
              </w:rPr>
              <w:t>TOPLANTI FOTOĞRAFLARI</w:t>
            </w:r>
          </w:p>
        </w:tc>
      </w:tr>
      <w:tr w:rsidR="004974B7" w:rsidRPr="004A497C" w:rsidTr="00334243">
        <w:tc>
          <w:tcPr>
            <w:tcW w:w="9062" w:type="dxa"/>
          </w:tcPr>
          <w:p w:rsidR="004974B7" w:rsidRPr="004A497C" w:rsidRDefault="00334243" w:rsidP="00334243">
            <w:pPr>
              <w:rPr>
                <w:b/>
                <w:color w:val="000000" w:themeColor="text1"/>
                <w:sz w:val="22"/>
                <w:szCs w:val="22"/>
              </w:rPr>
            </w:pPr>
            <w:r w:rsidRPr="004A497C">
              <w:rPr>
                <w:noProof/>
                <w:sz w:val="22"/>
                <w:szCs w:val="22"/>
              </w:rPr>
              <w:drawing>
                <wp:inline distT="0" distB="0" distL="0" distR="0">
                  <wp:extent cx="5705475" cy="2771775"/>
                  <wp:effectExtent l="0" t="0" r="9525" b="9525"/>
                  <wp:docPr id="2" name="Resim 2" descr="C:\Users\USER\AppData\Local\Packages\5319275A.WhatsAppDesktop_cv1g1gvanyjgm\TempState\FA45049AE6A839FE75ADB00333AB765E\WhatsApp Görsel 2025-11-10 saat 16.19.55_014b3f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Packages\5319275A.WhatsAppDesktop_cv1g1gvanyjgm\TempState\FA45049AE6A839FE75ADB00333AB765E\WhatsApp Görsel 2025-11-10 saat 16.19.55_014b3f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47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21F" w:rsidRPr="004A497C" w:rsidRDefault="008F6696" w:rsidP="008F6696">
      <w:pPr>
        <w:tabs>
          <w:tab w:val="left" w:pos="930"/>
        </w:tabs>
        <w:rPr>
          <w:sz w:val="22"/>
          <w:szCs w:val="22"/>
        </w:rPr>
      </w:pPr>
      <w:r w:rsidRPr="004A497C">
        <w:rPr>
          <w:sz w:val="22"/>
          <w:szCs w:val="22"/>
        </w:rPr>
        <w:tab/>
      </w:r>
    </w:p>
    <w:sectPr w:rsidR="000A321F" w:rsidRPr="004A49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B1" w:rsidRDefault="00DC75B1" w:rsidP="004974B7">
      <w:r>
        <w:separator/>
      </w:r>
    </w:p>
  </w:endnote>
  <w:endnote w:type="continuationSeparator" w:id="0">
    <w:p w:rsidR="00DC75B1" w:rsidRDefault="00DC75B1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C5A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B1" w:rsidRDefault="00DC75B1" w:rsidP="004974B7">
      <w:r>
        <w:separator/>
      </w:r>
    </w:p>
  </w:footnote>
  <w:footnote w:type="continuationSeparator" w:id="0">
    <w:p w:rsidR="00DC75B1" w:rsidRDefault="00DC75B1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482A72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Default="00482A72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İKTİSADİ VE İDARİ BİLİMLER FAKÜLTESİ</w:t>
          </w:r>
        </w:p>
        <w:p w:rsidR="00482A72" w:rsidRPr="004272E5" w:rsidRDefault="00482A72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BİRİM KALİTE KOMİSYONU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482A7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2025-2</w:t>
          </w:r>
        </w:p>
      </w:tc>
    </w:tr>
    <w:tr w:rsidR="00482A72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482A7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10.11.2025</w:t>
          </w:r>
        </w:p>
      </w:tc>
    </w:tr>
    <w:tr w:rsidR="00482A72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482A72" w:rsidP="00DD077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Artisto</w:t>
          </w:r>
          <w:proofErr w:type="spellEnd"/>
          <w:r>
            <w:rPr>
              <w:sz w:val="22"/>
            </w:rPr>
            <w:t xml:space="preserve"> Seminer Salonu</w:t>
          </w:r>
        </w:p>
      </w:tc>
    </w:tr>
    <w:tr w:rsidR="00482A72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334243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8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C4E87C2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171816"/>
    <w:rsid w:val="00184D69"/>
    <w:rsid w:val="0019063C"/>
    <w:rsid w:val="001C6EB5"/>
    <w:rsid w:val="002E227E"/>
    <w:rsid w:val="00307678"/>
    <w:rsid w:val="00334243"/>
    <w:rsid w:val="004272E5"/>
    <w:rsid w:val="00482A72"/>
    <w:rsid w:val="004974B7"/>
    <w:rsid w:val="004A497C"/>
    <w:rsid w:val="005642FB"/>
    <w:rsid w:val="00671C6A"/>
    <w:rsid w:val="007C2FD6"/>
    <w:rsid w:val="008F6696"/>
    <w:rsid w:val="00973DFA"/>
    <w:rsid w:val="009E5010"/>
    <w:rsid w:val="009E610C"/>
    <w:rsid w:val="00A360C4"/>
    <w:rsid w:val="00AE4702"/>
    <w:rsid w:val="00AF5E44"/>
    <w:rsid w:val="00B75F7B"/>
    <w:rsid w:val="00BE6452"/>
    <w:rsid w:val="00CA5966"/>
    <w:rsid w:val="00DC75B1"/>
    <w:rsid w:val="00DD077F"/>
    <w:rsid w:val="00E26C5A"/>
    <w:rsid w:val="00E77F5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EB93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Numaras">
    <w:name w:val="List Number"/>
    <w:basedOn w:val="Normal"/>
    <w:uiPriority w:val="99"/>
    <w:unhideWhenUsed/>
    <w:rsid w:val="00482A72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482A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64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645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9</cp:revision>
  <cp:lastPrinted>2025-11-11T12:21:00Z</cp:lastPrinted>
  <dcterms:created xsi:type="dcterms:W3CDTF">2025-11-11T12:21:00Z</dcterms:created>
  <dcterms:modified xsi:type="dcterms:W3CDTF">2025-11-11T13:18:00Z</dcterms:modified>
</cp:coreProperties>
</file>