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Marka ve Model Bilgisi</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Şartnamede İstenilen Sertifikalar ve Belgeler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Şartnameye Cevaplar ve Açıklamalar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784F4B" w:rsidRPr="006A1CDE" w14:paraId="271A7F76" w14:textId="77777777" w:rsidTr="00DA5ADA">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598"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2013" w:type="pct"/>
            <w:gridSpan w:val="2"/>
          </w:tcPr>
          <w:tbl>
            <w:tblPr>
              <w:tblStyle w:val="TableGrid"/>
              <w:tblW w:w="5224" w:type="dxa"/>
              <w:tblLayout w:type="fixed"/>
              <w:tblLook w:val="04A0" w:firstRow="1" w:lastRow="0" w:firstColumn="1" w:lastColumn="0" w:noHBand="0" w:noVBand="1"/>
            </w:tblPr>
            <w:tblGrid>
              <w:gridCol w:w="2961"/>
              <w:gridCol w:w="2263"/>
            </w:tblGrid>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Katalog</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Marka ve Model Bilgisi</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Teknik Şartnamede İstenilen Sertifikalar ve Belgeler</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Teknik Şartnameye Cevaplar ve Açıklamalar</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3"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