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27D9" w14:textId="7EA07963" w:rsidR="00804923" w:rsidRPr="00D55B8B" w:rsidRDefault="00804923" w:rsidP="00D55B8B">
      <w:pPr>
        <w:pStyle w:val="AralkYok"/>
        <w:jc w:val="center"/>
        <w:rPr>
          <w:b/>
          <w:szCs w:val="24"/>
          <w:lang w:eastAsia="tr-TR"/>
        </w:rPr>
      </w:pPr>
      <w:r w:rsidRPr="00D55B8B">
        <w:rPr>
          <w:b/>
          <w:szCs w:val="24"/>
          <w:lang w:eastAsia="tr-TR"/>
        </w:rPr>
        <w:t>BURDUR MEHMET AKİF ERSOY ÜNİVERSİTESİ</w:t>
      </w:r>
    </w:p>
    <w:p w14:paraId="613BA521" w14:textId="1E4D992C" w:rsidR="00804923" w:rsidRPr="00D55B8B" w:rsidRDefault="00B45BBA" w:rsidP="00D55B8B">
      <w:pPr>
        <w:pStyle w:val="AralkYok"/>
        <w:jc w:val="center"/>
        <w:rPr>
          <w:rFonts w:cs="Times New Roman"/>
          <w:b/>
          <w:szCs w:val="24"/>
          <w:lang w:eastAsia="tr-TR"/>
        </w:rPr>
      </w:pPr>
      <w:r w:rsidRPr="00D55B8B">
        <w:rPr>
          <w:rFonts w:cs="Times New Roman"/>
          <w:b/>
          <w:szCs w:val="24"/>
          <w:lang w:eastAsia="tr-TR"/>
        </w:rPr>
        <w:t>ERASMUS+ ÖĞRENİM HAREKETLİLİĞİ</w:t>
      </w:r>
      <w:r w:rsidR="00166275" w:rsidRPr="00D55B8B">
        <w:rPr>
          <w:rFonts w:cs="Times New Roman"/>
          <w:b/>
          <w:szCs w:val="24"/>
          <w:lang w:eastAsia="tr-TR"/>
        </w:rPr>
        <w:t xml:space="preserve"> </w:t>
      </w:r>
      <w:r w:rsidRPr="00D55B8B">
        <w:rPr>
          <w:rFonts w:cs="Times New Roman"/>
          <w:b/>
          <w:szCs w:val="24"/>
          <w:lang w:eastAsia="tr-TR"/>
        </w:rPr>
        <w:t>BAŞVURU KOŞULLARI</w:t>
      </w:r>
    </w:p>
    <w:p w14:paraId="483AD926" w14:textId="53BB44A5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Başvuruların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başladığı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internet sayfası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üzerinden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ve ilan panolarında ilan edilerek duyurulur ve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çağrısı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yapılır.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duyuruya istinaden Uluslararası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ofisine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yapar. </w:t>
      </w:r>
    </w:p>
    <w:p w14:paraId="14A971CE" w14:textId="05B7126A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takviminde belirtilen tarihte yabancı dil sınavına girer. </w:t>
      </w:r>
    </w:p>
    <w:p w14:paraId="683FC541" w14:textId="003256A0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Seçim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sonuçları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başvuran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bütün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öğrencilerin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değerlendirmeye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tabi tutulan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bütün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alanlarda aldıkları puanları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içerecek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şekilde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bölümlerin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ilan panolarında ve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internet sayfasında yayımlanır. </w:t>
      </w:r>
    </w:p>
    <w:p w14:paraId="39C37356" w14:textId="056F4E76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b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takviminde belirtilen tarihlerde; 1)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Sonuçlara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itiraz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2) Hareketlilikten feragat etmek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3) Hareketlilikten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hibesiz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faydalanmak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dilekçeyle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yapabilir.</w:t>
      </w:r>
      <w:r w:rsidRPr="001C2D40">
        <w:rPr>
          <w:rFonts w:eastAsia="Times New Roman" w:cs="Times New Roman"/>
          <w:b/>
          <w:sz w:val="20"/>
          <w:szCs w:val="20"/>
          <w:lang w:eastAsia="tr-TR"/>
        </w:rPr>
        <w:t xml:space="preserve"> </w:t>
      </w:r>
    </w:p>
    <w:p w14:paraId="35309534" w14:textId="3ECF527F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Öğrencilerin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kendi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kurumlarında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seçildikten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sonra faaliyeti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gerçekleştirebilmeleri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gidecekleri kurumlardan da kabul almaları gerekir. </w:t>
      </w:r>
    </w:p>
    <w:p w14:paraId="23D8BDCA" w14:textId="755A08C2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İşleri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birimi tarafından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sonuçlar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Koordinatörüne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gönderilir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0960034B" w14:textId="4FB86AC9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r w:rsidRPr="001C2D40">
        <w:rPr>
          <w:rFonts w:eastAsia="Times New Roman" w:cs="Times New Roman"/>
          <w:sz w:val="20"/>
          <w:szCs w:val="20"/>
          <w:lang w:eastAsia="tr-TR"/>
        </w:rPr>
        <w:t xml:space="preserve">Uluslararası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süreçleri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hakkında bilgi edinir,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öğrencilerini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bilgilendirir,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başvuruların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yapılmasını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sağlar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Bu noktada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takviminde belirtilen tarihte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+ Programı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Hareketliliği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Giden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Oryantasyonu”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düzenlenerek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öğrenciler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bilgilendirilir.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Seçilen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bu “Oryantasyona” katılmak zorundadır. </w:t>
      </w:r>
    </w:p>
    <w:p w14:paraId="436AFAC2" w14:textId="3606DFC7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b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“Oryantasyon Toplantısında”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aldığı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bilgiler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doğrultusunda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Koordinatöru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rehberliğinde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Anlaşmasını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hazırlar ve gerekli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evraklarını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takviminde belirtilen tarihe kadar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Ofisine teslim eder.</w:t>
      </w:r>
      <w:r w:rsidRPr="001C2D40">
        <w:rPr>
          <w:rFonts w:eastAsia="Times New Roman" w:cs="Times New Roman"/>
          <w:b/>
          <w:sz w:val="20"/>
          <w:szCs w:val="20"/>
          <w:lang w:eastAsia="tr-TR"/>
        </w:rPr>
        <w:t xml:space="preserve"> </w:t>
      </w:r>
    </w:p>
    <w:p w14:paraId="7A22CC40" w14:textId="24587751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Anlaşmasını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Üniversiteye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1435B723" w14:textId="1F0E6575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Anlaşmasını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onaylayarak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başvurusunu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kabul eder ve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Ofisine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6BBF80E5" w14:textId="7D7F4B18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Anlaşmasını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Fakülteye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79A43EAA" w14:textId="0A26C6B0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İşlerine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gelen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değerlendirilmek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üzere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Kuruluna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gönderilir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30AED6A4" w14:textId="1B534F78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r w:rsidRPr="001C2D40">
        <w:rPr>
          <w:rFonts w:eastAsia="Times New Roman" w:cs="Times New Roman"/>
          <w:sz w:val="20"/>
          <w:szCs w:val="20"/>
          <w:lang w:eastAsia="tr-TR"/>
        </w:rPr>
        <w:t>Karar sonucu onaylanan “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Anlaşması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İşleri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tarafından Uluslararası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Ofisine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üst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yazı ile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gönderilir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79A3C205" w14:textId="360EB345" w:rsidR="00804923" w:rsidRPr="001C2D40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Üniversitede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öğrenimine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başlamadan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önce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Ofisinde “Hibe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Sözleşmesi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” hazırlanır ve vize hazırlıkları yapılır. </w:t>
      </w:r>
    </w:p>
    <w:p w14:paraId="1D1D9D3A" w14:textId="6EB4F4BB" w:rsidR="00804923" w:rsidRDefault="00804923" w:rsidP="001C2D40">
      <w:pPr>
        <w:pStyle w:val="ListeParagraf"/>
        <w:numPr>
          <w:ilvl w:val="0"/>
          <w:numId w:val="3"/>
        </w:numPr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yurtdışına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çıkıs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̧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işlemleri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yurtdışında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kalınacak yer temin edilmesi, pasaport ve vize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işlemleri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sorumluluğundadır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kurumunun belirtilen konularda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öğrencilerine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destek ve yardımcı olması beklenir. Vize ve pasaport konusunda ulusal veya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diğer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yetkili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kuruluşlar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tarafından istenen ve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kurumu tarafından hazırlanması gereken belgeler varsa,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söz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konusu belgeler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 kurumu tarafından </w:t>
      </w:r>
      <w:proofErr w:type="spellStart"/>
      <w:r w:rsidRPr="001C2D40">
        <w:rPr>
          <w:rFonts w:eastAsia="Times New Roman" w:cs="Times New Roman"/>
          <w:sz w:val="20"/>
          <w:szCs w:val="20"/>
          <w:lang w:eastAsia="tr-TR"/>
        </w:rPr>
        <w:t>düzenlenir</w:t>
      </w:r>
      <w:proofErr w:type="spellEnd"/>
      <w:r w:rsidRPr="001C2D40"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2F1D9B4D" w14:textId="1DDBAC12" w:rsidR="009C5CC1" w:rsidRDefault="009C5CC1" w:rsidP="009C5CC1">
      <w:pPr>
        <w:pStyle w:val="ListeParagraf"/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</w:p>
    <w:p w14:paraId="0F64F2E1" w14:textId="2EC64807" w:rsidR="009C5CC1" w:rsidRDefault="009C5CC1" w:rsidP="009C5CC1">
      <w:pPr>
        <w:pStyle w:val="ListeParagraf"/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</w:p>
    <w:p w14:paraId="7A279099" w14:textId="77777777" w:rsidR="009C5CC1" w:rsidRDefault="009C5CC1" w:rsidP="009C5CC1">
      <w:pPr>
        <w:pStyle w:val="AralkYok"/>
        <w:jc w:val="center"/>
        <w:rPr>
          <w:b/>
          <w:lang w:eastAsia="tr-TR"/>
        </w:rPr>
      </w:pPr>
      <w:r>
        <w:rPr>
          <w:b/>
          <w:lang w:eastAsia="tr-TR"/>
        </w:rPr>
        <w:t>BURDUR MEHMET AKİF ERSOY ÜNİVERSİTESİ</w:t>
      </w:r>
    </w:p>
    <w:p w14:paraId="57BB1CBD" w14:textId="77777777" w:rsidR="009C5CC1" w:rsidRDefault="009C5CC1" w:rsidP="009C5CC1">
      <w:pPr>
        <w:pStyle w:val="AralkYok"/>
        <w:jc w:val="center"/>
        <w:rPr>
          <w:rFonts w:cs="Times New Roman"/>
          <w:b/>
          <w:lang w:eastAsia="tr-TR"/>
        </w:rPr>
      </w:pPr>
      <w:bookmarkStart w:id="0" w:name="_GoBack"/>
      <w:bookmarkEnd w:id="0"/>
      <w:r>
        <w:rPr>
          <w:rFonts w:cs="Times New Roman"/>
          <w:b/>
          <w:lang w:eastAsia="tr-TR"/>
        </w:rPr>
        <w:t>ERASMUS+ ÖĞRENİM HAREKETLİLİĞİ FAALİYETİ VE SONRASI</w:t>
      </w:r>
    </w:p>
    <w:p w14:paraId="404A5C52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gerekli hazırlıkları yaptıktan sonra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gideceği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üniversitede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öğrenime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başlar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7FC49193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Çeşitli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sebeplerle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anlaşmasında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yapılacak olan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değişikliklerin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, gidilen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yükseköğretim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kurumunda akademik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dönemin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başlamasını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takiben en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gec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̧ 4 – 7 hafta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içerisinde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yapılmıs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̧ olması ve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anlaşmanın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taraflarınca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değişiklik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talep edildikten sonra en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gec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̧ 2 hafta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içinde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onaylanması gerekir. </w:t>
      </w:r>
    </w:p>
    <w:p w14:paraId="3311A1CC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Gittiği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Üniversite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eğitim-öğretim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sonunda hazırlanan belgeleri Uluslararası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Ofisine teslim edilmek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üzere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öğrenciye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verir. </w:t>
      </w:r>
    </w:p>
    <w:p w14:paraId="4678F071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lastRenderedPageBreak/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eğitim-öğretim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sonunda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gittiği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üniversiteden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aldığı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belgeleri Uluslararası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Ofisine teslim eder. Hareketlilik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dönemini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tamamlayan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öğrencilerin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döndükten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sonra teslim etmeleri gereken belgeleri tamamlamaları gerekmektedir. </w:t>
      </w:r>
    </w:p>
    <w:p w14:paraId="28ACF705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r>
        <w:rPr>
          <w:rFonts w:eastAsia="Times New Roman" w:cs="Times New Roman"/>
          <w:sz w:val="20"/>
          <w:szCs w:val="20"/>
          <w:lang w:eastAsia="tr-TR"/>
        </w:rPr>
        <w:t xml:space="preserve">5. Uluslararası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sonuc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̧ belgelerini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ı̇şlerine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0E8D37BD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İşleri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sonucun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değerlendirilip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intibaka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dönüştürülmesi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Koordinatörüne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5A9FF49F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Koordinatöru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değerlendirme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sonucu derslerin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tanınırlığıyla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ilgili belgeyi hazırlayarak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ı̇şleri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birimine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457862FC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İşleri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derslerin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tanınırlığını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değerlendirmesi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için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kuruluna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367A349D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Kurulu derslerin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tanınırlığıyla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ilgili karar alarak kararı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ı̇şlerine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0941476D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işleri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karar sonucunu Uluslararası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İlişkiler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Koordinatörlüğu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̈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Ofisine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gönderir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. </w:t>
      </w:r>
    </w:p>
    <w:p w14:paraId="285DD2A7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Erasmus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Ofisinde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tanınırlığı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sağlanan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derslerle ilgili belge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dosyasına konur. </w:t>
      </w:r>
    </w:p>
    <w:p w14:paraId="32671108" w14:textId="77777777" w:rsidR="009C5CC1" w:rsidRDefault="009C5CC1" w:rsidP="009C5CC1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="Times New Roman"/>
          <w:sz w:val="20"/>
          <w:szCs w:val="20"/>
          <w:lang w:eastAsia="tr-TR"/>
        </w:rPr>
      </w:pPr>
      <w:proofErr w:type="spellStart"/>
      <w:r>
        <w:rPr>
          <w:rFonts w:eastAsia="Times New Roman" w:cs="Times New Roman"/>
          <w:sz w:val="20"/>
          <w:szCs w:val="20"/>
          <w:lang w:eastAsia="tr-TR"/>
        </w:rPr>
        <w:t>Fakülte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Yönetim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Kurulu kararıyla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tanınırlığı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sağlanan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derslerle ilgili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öğrencinin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intibakı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öğrenci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 xml:space="preserve"> bilgi sistemine </w:t>
      </w:r>
      <w:proofErr w:type="spellStart"/>
      <w:r>
        <w:rPr>
          <w:rFonts w:eastAsia="Times New Roman" w:cs="Times New Roman"/>
          <w:sz w:val="20"/>
          <w:szCs w:val="20"/>
          <w:lang w:eastAsia="tr-TR"/>
        </w:rPr>
        <w:t>işlenir</w:t>
      </w:r>
      <w:proofErr w:type="spellEnd"/>
      <w:r>
        <w:rPr>
          <w:rFonts w:eastAsia="Times New Roman" w:cs="Times New Roman"/>
          <w:sz w:val="20"/>
          <w:szCs w:val="20"/>
          <w:lang w:eastAsia="tr-TR"/>
        </w:rPr>
        <w:t>.</w:t>
      </w:r>
    </w:p>
    <w:p w14:paraId="07C6076B" w14:textId="77777777" w:rsidR="009C5CC1" w:rsidRPr="001C2D40" w:rsidRDefault="009C5CC1" w:rsidP="009C5CC1">
      <w:pPr>
        <w:pStyle w:val="ListeParagraf"/>
        <w:spacing w:before="100" w:beforeAutospacing="1" w:after="100" w:afterAutospacing="1" w:line="276" w:lineRule="auto"/>
        <w:rPr>
          <w:rFonts w:eastAsia="Times New Roman" w:cs="Times New Roman"/>
          <w:sz w:val="20"/>
          <w:szCs w:val="20"/>
          <w:lang w:eastAsia="tr-TR"/>
        </w:rPr>
      </w:pPr>
    </w:p>
    <w:p w14:paraId="14257B90" w14:textId="7CB20DCE" w:rsidR="00804923" w:rsidRPr="00716F6E" w:rsidRDefault="00804923" w:rsidP="00804923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eastAsia="tr-TR"/>
        </w:rPr>
      </w:pPr>
    </w:p>
    <w:p w14:paraId="0A2A11AD" w14:textId="77777777" w:rsidR="00D45181" w:rsidRPr="00716F6E" w:rsidRDefault="00D45181">
      <w:pPr>
        <w:rPr>
          <w:rFonts w:cs="Times New Roman"/>
          <w:sz w:val="20"/>
          <w:szCs w:val="20"/>
        </w:rPr>
      </w:pPr>
    </w:p>
    <w:sectPr w:rsidR="00D45181" w:rsidRPr="0071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B5ABE" w14:textId="77777777" w:rsidR="00C62522" w:rsidRDefault="00C62522" w:rsidP="00D55B8B">
      <w:pPr>
        <w:spacing w:after="0" w:line="240" w:lineRule="auto"/>
      </w:pPr>
      <w:r>
        <w:separator/>
      </w:r>
    </w:p>
  </w:endnote>
  <w:endnote w:type="continuationSeparator" w:id="0">
    <w:p w14:paraId="21B58E7E" w14:textId="77777777" w:rsidR="00C62522" w:rsidRDefault="00C62522" w:rsidP="00D5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8F44" w14:textId="77777777" w:rsidR="00C62522" w:rsidRDefault="00C62522" w:rsidP="00D55B8B">
      <w:pPr>
        <w:spacing w:after="0" w:line="240" w:lineRule="auto"/>
      </w:pPr>
      <w:r>
        <w:separator/>
      </w:r>
    </w:p>
  </w:footnote>
  <w:footnote w:type="continuationSeparator" w:id="0">
    <w:p w14:paraId="6330572F" w14:textId="77777777" w:rsidR="00C62522" w:rsidRDefault="00C62522" w:rsidP="00D55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3880"/>
    <w:multiLevelType w:val="hybridMultilevel"/>
    <w:tmpl w:val="A65EEB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60518"/>
    <w:multiLevelType w:val="hybridMultilevel"/>
    <w:tmpl w:val="09B49E3C"/>
    <w:lvl w:ilvl="0" w:tplc="E848D6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44A0F"/>
    <w:multiLevelType w:val="hybridMultilevel"/>
    <w:tmpl w:val="A60A6088"/>
    <w:lvl w:ilvl="0" w:tplc="44689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75F83"/>
    <w:multiLevelType w:val="multilevel"/>
    <w:tmpl w:val="C3DA1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23"/>
    <w:rsid w:val="000B381F"/>
    <w:rsid w:val="001065F6"/>
    <w:rsid w:val="00166275"/>
    <w:rsid w:val="001C2D40"/>
    <w:rsid w:val="002078DB"/>
    <w:rsid w:val="002654F0"/>
    <w:rsid w:val="00436C3B"/>
    <w:rsid w:val="00505044"/>
    <w:rsid w:val="00716F6E"/>
    <w:rsid w:val="00804923"/>
    <w:rsid w:val="00836708"/>
    <w:rsid w:val="008E62AA"/>
    <w:rsid w:val="00981A5A"/>
    <w:rsid w:val="009C5CC1"/>
    <w:rsid w:val="00A00C24"/>
    <w:rsid w:val="00A0206A"/>
    <w:rsid w:val="00A47C23"/>
    <w:rsid w:val="00A961DC"/>
    <w:rsid w:val="00B45BBA"/>
    <w:rsid w:val="00BC1194"/>
    <w:rsid w:val="00C32E2A"/>
    <w:rsid w:val="00C5715C"/>
    <w:rsid w:val="00C62522"/>
    <w:rsid w:val="00D45181"/>
    <w:rsid w:val="00D55B8B"/>
    <w:rsid w:val="00E029E6"/>
    <w:rsid w:val="00E11D5A"/>
    <w:rsid w:val="00E42A34"/>
    <w:rsid w:val="00E46A1B"/>
    <w:rsid w:val="00FD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F6F1"/>
  <w15:chartTrackingRefBased/>
  <w15:docId w15:val="{E68BB1FF-1C7B-D145-8D81-F9F2858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81F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E029E6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1D5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36C3B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29E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1D5A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36C3B"/>
    <w:rPr>
      <w:rFonts w:ascii="Times New Roman" w:eastAsiaTheme="majorEastAsia" w:hAnsi="Times New Roman" w:cstheme="majorBidi"/>
      <w:b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04923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0492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1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F6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5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5B8B"/>
    <w:rPr>
      <w:rFonts w:ascii="Times New Roman" w:hAnsi="Times New Roman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D55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5B8B"/>
    <w:rPr>
      <w:rFonts w:ascii="Times New Roman" w:hAnsi="Times New Roman"/>
      <w:szCs w:val="22"/>
    </w:rPr>
  </w:style>
  <w:style w:type="paragraph" w:styleId="AralkYok">
    <w:name w:val="No Spacing"/>
    <w:uiPriority w:val="1"/>
    <w:qFormat/>
    <w:rsid w:val="00D55B8B"/>
    <w:pPr>
      <w:jc w:val="both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9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BAŞAR ZEREN</dc:creator>
  <cp:keywords/>
  <dc:description/>
  <cp:lastModifiedBy>USER</cp:lastModifiedBy>
  <cp:revision>2</cp:revision>
  <dcterms:created xsi:type="dcterms:W3CDTF">2024-10-22T06:55:00Z</dcterms:created>
  <dcterms:modified xsi:type="dcterms:W3CDTF">2024-10-22T06:55:00Z</dcterms:modified>
</cp:coreProperties>
</file>