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Anabilim Dalı Başkanı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Öğretim üyesi (Profesör, Doçent veya Doktor Öğretim Üyesi); kadrosu ilgili fakültededir.</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(yalnızca lisansüstü/enstitü işleri bakımından)</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Belirlenme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Kural olarak ilgili fakültenin bölüm/anabilim dalı başkanı, aynı zamanda enstitü anabilim dalı başkanıdır; disiplinler arası enstitü anabilim dallarında başkan ilgili mevzuata göre belirlenir. (Lisansüstü Enstitüler Teşkilat ve İşleyiş Yön.)</w:t>
            </w:r>
          </w:p>
        </w:tc>
      </w:tr>
    </w:tbl>
    <w:p>
      <w:pPr>
        <w:spacing w:after="40" w:before="100"/>
      </w:pPr>
      <w:r>
        <w:rPr>
          <w:rFonts w:ascii="Times New Roman" w:cs="Times New Roman" w:eastAsia="Times New Roman" w:hAnsi="Times New Roman"/>
          <w:sz w:val="6"/>
          <w:szCs w:val="6"/>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FBFBF" w:sz="4"/>
              <w:left w:val="single" w:color="E40139" w:sz="24"/>
              <w:bottom w:val="single" w:color="BFBFBF" w:sz="4"/>
              <w:right w:val="single" w:color="BFBFBF" w:sz="4"/>
            </w:tcBorders>
            <w:shd w:fill="FBF0F3" w:val="clear"/>
            <w:tcMar>
              <w:top w:type="dxa" w:w="100"/>
              <w:left w:type="dxa" w:w="180"/>
              <w:bottom w:type="dxa" w:w="100"/>
              <w:right w:type="dxa" w:w="160"/>
            </w:tcMar>
          </w:tcPr>
          <w:p>
            <w:pPr>
              <w:spacing w:line="276"/>
              <w:jc w:val="both"/>
            </w:pPr>
            <w:r>
              <w:rPr>
                <w:rFonts w:ascii="Times New Roman" w:cs="Times New Roman" w:eastAsia="Times New Roman" w:hAnsi="Times New Roman"/>
                <w:b/>
                <w:bCs/>
                <w:color w:val="E40139"/>
                <w:sz w:val="20"/>
                <w:szCs w:val="20"/>
              </w:rPr>
              <w:t xml:space="preserve">AÇIKLAMA: </w:t>
            </w:r>
            <w:r>
              <w:rPr>
                <w:rFonts w:ascii="Times New Roman" w:cs="Times New Roman" w:eastAsia="Times New Roman" w:hAnsi="Times New Roman"/>
                <w:sz w:val="20"/>
                <w:szCs w:val="20"/>
              </w:rPr>
              <w:t xml:space="preserve">Enstitü anabilim dalı başkanlığı, kural olarak ilgili fakültenin bölüm/anabilim dalı başkanı tarafından yürütülür. İlgili kişinin kadrosu, özlük işleri, maaşı ve disiplin amirliği fakülte/dekanlık üzerinden gerçekleşir. Bu görev tanımı, yalnızca enstitü (lisansüstü eğitim-öğretim) bakımından görev, yetki ve sorumlulukları kapsar.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Enstitü Anabilim Dalı Başkanı'nın yalnızca enstitü (lisansüstü eğitim-öğretim) bakımından görev, yetki ve sorumluluklarını 2547 sayılı Kanun, Lisansüstü Eğitim-Öğretim Enstitülerinin Teşkilat ve İşleyiş Yönetmeliği, Lisansüstü Eğitim ve Öğretim Yönetmeliği ile Kalite Yönetim Sistemi gerekliliklerine uygun olarak tanımlamaktır. İlgili kişinin akademik kadrosu ve özlük işleri fakülte bünyesinde yürütülür.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Anabilim Dalı Başkanı, 2547 sayılı Kanun'un 19. maddesi gereği enstitü kurulunun bir üyesidir ve fakültelerde bölüm başkanlarına verilen görevleri enstitü bakımından yerine getirir (Lisansüstü Enstitüler Teşkilat ve İşleyiş Yönetmeliği). Lisansüstü süreçlere ilişkin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Anabilim dalının lisansüstü eğitim-öğretim, bilimsel araştırma ve uygulama faaliyetlerinin enstitü bakımından düzenli ve verimli yürütülmesini sağlamak.</w:t>
      </w:r>
      <w:r>
        <w:rPr>
          <w:rFonts w:ascii="Times New Roman" w:cs="Times New Roman" w:eastAsia="Times New Roman" w:hAnsi="Times New Roman"/>
          <w:i/>
          <w:iCs/>
          <w:color w:val="7F7F7F"/>
          <w:sz w:val="16"/>
          <w:szCs w:val="16"/>
        </w:rPr>
        <w:t xml:space="preserve">  (Akademik Teşkilat Yön. md. 14; Lisansüstü Enstitüler Teşk.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Anabilim dalı akademik kuruluna başkanlık etmek; lisansüstü programlara ilişkin görüş ve önerileri Enstitü Müdürlüğüne iletmek.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programlarda açılacak dersleri ve ders görevlendirmelerini belirleyerek Enstitü Müdürlüğüne önermek.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danışmanlarını, tez izleme komitesi üyelerini ve tez jürilerini Enstitü Yönetim Kuruluna önermek.</w:t>
      </w:r>
      <w:r>
        <w:rPr>
          <w:rFonts w:ascii="Times New Roman" w:cs="Times New Roman" w:eastAsia="Times New Roman" w:hAnsi="Times New Roman"/>
          <w:i/>
          <w:iCs/>
          <w:color w:val="7F7F7F"/>
          <w:sz w:val="16"/>
          <w:szCs w:val="16"/>
        </w:rPr>
        <w:t xml:space="preserve">  (Lisansüstü Eğitim ve Öğretim Yön.; Üniversite Lisansüstü Yönergesi)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Öğrenci kabul kontenjanlarına ilişkin önerilerde bulunmak ve başvuru değerlendirme süreçlerini koordine etmek.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Yeterlik, seminer ve tez savunma sınavlarının ilgili mevzuata uygun yürütülmesini sağlamak.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çalışmalarına katılmak ve alınan kararların anabilim dalında uygulanmasını sağlamak.</w:t>
      </w:r>
      <w:r>
        <w:rPr>
          <w:rFonts w:ascii="Times New Roman" w:cs="Times New Roman" w:eastAsia="Times New Roman" w:hAnsi="Times New Roman"/>
          <w:i/>
          <w:iCs/>
          <w:color w:val="7F7F7F"/>
          <w:sz w:val="16"/>
          <w:szCs w:val="16"/>
        </w:rPr>
        <w:t xml:space="preserve">  (2547 s.K. md. 19/c)</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Her öğretim yılı sonunda ve istenildiğinde anabilim dalının lisansüstü faaliyetlerine ilişkin raporu Enstitü Müdürlüğüne sunmak.</w:t>
      </w:r>
      <w:r>
        <w:rPr>
          <w:rFonts w:ascii="Times New Roman" w:cs="Times New Roman" w:eastAsia="Times New Roman" w:hAnsi="Times New Roman"/>
          <w:i/>
          <w:iCs/>
          <w:color w:val="7F7F7F"/>
          <w:sz w:val="16"/>
          <w:szCs w:val="16"/>
        </w:rPr>
        <w:t xml:space="preserve">  (Akademik Teşkilat Yön. md. 14)</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anabilim dalı lisansüstü süreçlerinin uygulanmasını ve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Anabilim dalı akademik kuruluna başkanlık etme ve toplantıya çağırma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Danışman, tez izleme komitesi ve jüri önerilerini Enstitü Müdürlüğü/Enstitü Yönetim Kuruluna sunma yetkisi.</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3"/>
        </w:numPr>
        <w:spacing w:after="70" w:line="276"/>
        <w:jc w:val="both"/>
      </w:pPr>
      <w:r>
        <w:rPr>
          <w:rFonts w:ascii="Times New Roman" w:cs="Times New Roman" w:eastAsia="Times New Roman" w:hAnsi="Times New Roman"/>
          <w:sz w:val="22"/>
          <w:szCs w:val="22"/>
        </w:rPr>
        <w:t xml:space="preserve">Lisansüstü ders açma ve ders görevlendirmesine ilişkin önerilerde bulunma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Anabilim dalı öğretim elemanlarının lisansüstü çalışmalarını enstitü bakımından koordine etme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Anabilim dalının lisansüstü eğitim-öğretim ve araştırma faaliyetlerinin düzenli, verimli ve mevzuata uygun yürütülmesinden Enstitü Müdürüne karşı sorumludur.</w:t>
      </w:r>
      <w:r>
        <w:rPr>
          <w:rFonts w:ascii="Times New Roman" w:cs="Times New Roman" w:eastAsia="Times New Roman" w:hAnsi="Times New Roman"/>
          <w:i/>
          <w:iCs/>
          <w:color w:val="7F7F7F"/>
          <w:sz w:val="16"/>
          <w:szCs w:val="16"/>
        </w:rPr>
        <w:t xml:space="preserve">  (Akademik Teşkilat Yön. md. 14)</w:t>
      </w:r>
    </w:p>
    <w:p>
      <w:pPr>
        <w:pStyle w:val="ListParagraph"/>
        <w:numPr>
          <w:ilvl w:val="0"/>
          <w:numId w:val="4"/>
        </w:numPr>
        <w:spacing w:after="70" w:line="276"/>
        <w:jc w:val="both"/>
      </w:pPr>
      <w:r>
        <w:rPr>
          <w:rFonts w:ascii="Times New Roman" w:cs="Times New Roman" w:eastAsia="Times New Roman" w:hAnsi="Times New Roman"/>
          <w:sz w:val="22"/>
          <w:szCs w:val="22"/>
        </w:rPr>
        <w:t xml:space="preserve">Önerdiği danışman, jüri, komite ve görevlendirmelerin mevzuata uygunluğundan sorumludur.</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bilimsel etik, tarafsızlık, gizlilik ve mevzuata uygunluk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anabilim dalı lisansüstü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İlgili fakültede kadrolu öğretim üyesi (Profesör, Doçent veya Doktor Öğretim Üyesi)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Belirlenme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İlgili fakültenin bölüm/anabilim dalı başkanı olmak (kural olarak); disiplinler arası enstitü anabilim dallarında ilgili mevzuata göre belirlenmiş olmak. (Lisansüstü Enstitüler Teşk. Yön.)</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Lisansüstü eğitim-öğretim mevzuatı ve yükseköğretim mevzuatına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Akademik koordinasyon, danışmanlık, bilimsel liderlik, planlama ve iletişim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13 ve md. 14)</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Eğitim-Öğretim Enstitülerinin Teşkilat ve İşleyiş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ENSTİTÜ ANABİLİM DALI BAŞKANI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GT-004</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2026-06-09T10:31:24Z</dcterms:created>
  <dcterms:modified xsi:type="dcterms:W3CDTF">2026-06-09T10:31:24Z</dcterms:modified>
</cp:coreProperties>
</file>

<file path=docProps/custom.xml><?xml version="1.0" encoding="utf-8"?>
<Properties xmlns="http://schemas.openxmlformats.org/officeDocument/2006/custom-properties" xmlns:vt="http://schemas.openxmlformats.org/officeDocument/2006/docPropsVTypes"/>
</file>