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814"/>
        <w:gridCol w:w="2551"/>
      </w:tblGrid>
      <w:tr w:rsidR="00D03DDA">
        <w:trPr>
          <w:trHeight w:val="1420"/>
        </w:trPr>
        <w:tc>
          <w:tcPr>
            <w:tcW w:w="2693" w:type="dxa"/>
          </w:tcPr>
          <w:p w:rsidR="00D03DDA" w:rsidRDefault="00D03DDA">
            <w:pPr>
              <w:pStyle w:val="TableParagraph"/>
              <w:spacing w:before="8"/>
              <w:ind w:left="0" w:firstLine="0"/>
              <w:rPr>
                <w:sz w:val="7"/>
              </w:rPr>
            </w:pPr>
          </w:p>
          <w:p w:rsidR="00D03DDA" w:rsidRDefault="00E04266">
            <w:pPr>
              <w:pStyle w:val="TableParagraph"/>
              <w:ind w:left="182" w:firstLine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87653" cy="50711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653" cy="50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</w:tcPr>
          <w:p w:rsidR="00D03DDA" w:rsidRDefault="00E04266">
            <w:pPr>
              <w:pStyle w:val="TableParagraph"/>
              <w:spacing w:line="275" w:lineRule="exact"/>
              <w:ind w:left="29" w:right="2" w:firstLine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:rsidR="00D03DDA" w:rsidRDefault="00E04266">
            <w:pPr>
              <w:pStyle w:val="TableParagraph"/>
              <w:ind w:left="2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BURDUR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MEHMET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AKİF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ERSOY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 w:rsidR="00B152D1">
              <w:rPr>
                <w:b/>
                <w:sz w:val="24"/>
              </w:rPr>
              <w:t xml:space="preserve"> EĞİTİM </w:t>
            </w:r>
            <w:r>
              <w:rPr>
                <w:b/>
                <w:sz w:val="24"/>
              </w:rPr>
              <w:t>BİLİMLERİ ENSTİTÜSÜ</w:t>
            </w:r>
          </w:p>
          <w:p w:rsidR="000F6B05" w:rsidRDefault="000F6B05">
            <w:pPr>
              <w:pStyle w:val="TableParagraph"/>
              <w:ind w:left="29" w:right="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ULUSLARARASILAŞMA</w:t>
            </w:r>
          </w:p>
          <w:p w:rsidR="00D03DDA" w:rsidRDefault="00D03DDA">
            <w:pPr>
              <w:pStyle w:val="TableParagraph"/>
              <w:ind w:left="29" w:right="4" w:firstLine="0"/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D03DDA" w:rsidRDefault="00D03DDA">
            <w:pPr>
              <w:pStyle w:val="TableParagraph"/>
              <w:spacing w:before="9"/>
              <w:ind w:left="0" w:firstLine="0"/>
              <w:rPr>
                <w:sz w:val="8"/>
              </w:rPr>
            </w:pPr>
          </w:p>
          <w:p w:rsidR="00D03DDA" w:rsidRDefault="00B152D1">
            <w:pPr>
              <w:pStyle w:val="TableParagraph"/>
              <w:ind w:left="14" w:right="-87" w:firstLine="0"/>
              <w:rPr>
                <w:sz w:val="20"/>
              </w:rPr>
            </w:pPr>
            <w:r w:rsidRPr="007B0165">
              <w:rPr>
                <w:noProof/>
                <w:sz w:val="24"/>
                <w:szCs w:val="24"/>
              </w:rPr>
              <w:drawing>
                <wp:inline distT="0" distB="0" distL="0" distR="0" wp14:anchorId="2007F24D" wp14:editId="6BE73A2E">
                  <wp:extent cx="1466850" cy="6477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49" cy="647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DDA">
        <w:trPr>
          <w:trHeight w:val="13106"/>
        </w:trPr>
        <w:tc>
          <w:tcPr>
            <w:tcW w:w="11058" w:type="dxa"/>
            <w:gridSpan w:val="3"/>
          </w:tcPr>
          <w:p w:rsidR="00D03DDA" w:rsidRDefault="00D03DDA">
            <w:pPr>
              <w:pStyle w:val="TableParagraph"/>
              <w:ind w:left="0" w:firstLine="0"/>
              <w:rPr>
                <w:sz w:val="24"/>
              </w:rPr>
            </w:pPr>
          </w:p>
          <w:p w:rsidR="00D03DDA" w:rsidRDefault="00D03DDA">
            <w:pPr>
              <w:pStyle w:val="TableParagraph"/>
              <w:ind w:left="0" w:firstLine="0"/>
              <w:rPr>
                <w:sz w:val="24"/>
              </w:rPr>
            </w:pPr>
          </w:p>
          <w:p w:rsidR="00D03DDA" w:rsidRDefault="00D03DDA">
            <w:pPr>
              <w:pStyle w:val="TableParagraph"/>
              <w:spacing w:before="1"/>
              <w:ind w:left="0" w:firstLine="0"/>
              <w:rPr>
                <w:sz w:val="24"/>
              </w:rPr>
            </w:pPr>
          </w:p>
          <w:p w:rsidR="000F6B05" w:rsidRPr="00C970F2" w:rsidRDefault="000F6B05" w:rsidP="000F6B05">
            <w:pPr>
              <w:spacing w:before="240" w:line="360" w:lineRule="auto"/>
              <w:jc w:val="both"/>
              <w:rPr>
                <w:shd w:val="clear" w:color="auto" w:fill="FFFFFF"/>
              </w:rPr>
            </w:pPr>
            <w:r w:rsidRPr="00C970F2">
              <w:rPr>
                <w:b/>
                <w:bCs/>
              </w:rPr>
              <w:t xml:space="preserve">A.4. </w:t>
            </w:r>
            <w:proofErr w:type="spellStart"/>
            <w:r w:rsidRPr="00C970F2">
              <w:rPr>
                <w:b/>
                <w:bCs/>
              </w:rPr>
              <w:t>Uluslararasılaşma</w:t>
            </w:r>
            <w:proofErr w:type="spellEnd"/>
            <w:r w:rsidRPr="00C970F2">
              <w:rPr>
                <w:b/>
                <w:bCs/>
              </w:rPr>
              <w:t>:</w:t>
            </w:r>
            <w:r w:rsidRPr="00C970F2">
              <w:rPr>
                <w:shd w:val="clear" w:color="auto" w:fill="FFFFFF"/>
              </w:rPr>
              <w:t xml:space="preserve"> </w:t>
            </w:r>
          </w:p>
          <w:p w:rsidR="000F6B05" w:rsidRPr="00C970F2" w:rsidRDefault="000F6B05" w:rsidP="000F6B05">
            <w:pPr>
              <w:spacing w:before="240" w:line="360" w:lineRule="auto"/>
              <w:rPr>
                <w:b/>
                <w:bCs/>
              </w:rPr>
            </w:pPr>
            <w:r w:rsidRPr="00C970F2">
              <w:rPr>
                <w:b/>
                <w:bCs/>
              </w:rPr>
              <w:t xml:space="preserve">A.4.1. </w:t>
            </w:r>
            <w:proofErr w:type="spellStart"/>
            <w:r w:rsidRPr="00C970F2">
              <w:rPr>
                <w:b/>
                <w:bCs/>
              </w:rPr>
              <w:t>Uluslararasılaşma</w:t>
            </w:r>
            <w:proofErr w:type="spellEnd"/>
            <w:r w:rsidRPr="00C970F2">
              <w:rPr>
                <w:b/>
                <w:bCs/>
              </w:rPr>
              <w:t xml:space="preserve"> performansı</w:t>
            </w:r>
          </w:p>
          <w:p w:rsidR="000F6B05" w:rsidRPr="00C970F2" w:rsidRDefault="000F6B05" w:rsidP="000F6B05">
            <w:pPr>
              <w:spacing w:before="240" w:line="360" w:lineRule="auto"/>
              <w:jc w:val="both"/>
            </w:pPr>
            <w:proofErr w:type="spellStart"/>
            <w:r w:rsidRPr="00C970F2">
              <w:t>Uluslararasılaşma</w:t>
            </w:r>
            <w:proofErr w:type="spellEnd"/>
            <w:r w:rsidRPr="00C970F2">
              <w:t xml:space="preserve"> süreçlerinin yönetimi ve </w:t>
            </w:r>
            <w:proofErr w:type="spellStart"/>
            <w:r w:rsidRPr="00C970F2">
              <w:t>organizasyonel</w:t>
            </w:r>
            <w:proofErr w:type="spellEnd"/>
            <w:r w:rsidRPr="00C970F2">
              <w:t xml:space="preserve"> yapısı kurumsallaşmıştır. Kurumun </w:t>
            </w:r>
            <w:proofErr w:type="spellStart"/>
            <w:r w:rsidRPr="00C970F2">
              <w:t>uluslararasılaşma</w:t>
            </w:r>
            <w:proofErr w:type="spellEnd"/>
            <w:r w:rsidRPr="00C970F2">
              <w:t xml:space="preserve"> politikası ile uyumludur. Yönetim ve </w:t>
            </w:r>
            <w:proofErr w:type="spellStart"/>
            <w:r w:rsidRPr="00C970F2">
              <w:t>organizasyonel</w:t>
            </w:r>
            <w:proofErr w:type="spellEnd"/>
            <w:r w:rsidRPr="00C970F2">
              <w:t xml:space="preserve"> yapının işleyişi ve etkinliği geliştirilmektedir. Yüksek lisans eğitiminde öğrenciler Uluslararası İlişkiler Koordinatörlünün desteği ile ERASMUS faaliyetlerinden yararlanmaktadır (Kanıt 1, 2).</w:t>
            </w:r>
          </w:p>
          <w:p w:rsidR="000F6B05" w:rsidRPr="00C970F2" w:rsidRDefault="000F6B05" w:rsidP="000F6B05">
            <w:pPr>
              <w:spacing w:line="360" w:lineRule="auto"/>
              <w:ind w:left="-76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:rsidR="000F6B05" w:rsidRPr="00C970F2" w:rsidRDefault="000F6B05" w:rsidP="000F6B05">
            <w:pPr>
              <w:spacing w:line="360" w:lineRule="auto"/>
              <w:ind w:left="-76"/>
              <w:jc w:val="both"/>
              <w:rPr>
                <w:b/>
                <w:bCs/>
                <w:iCs/>
              </w:rPr>
            </w:pPr>
            <w:r w:rsidRPr="00C970F2">
              <w:rPr>
                <w:b/>
                <w:bCs/>
                <w:iCs/>
              </w:rPr>
              <w:t xml:space="preserve"> Olgunluk Düzeyi</w:t>
            </w:r>
          </w:p>
          <w:tbl>
            <w:tblPr>
              <w:tblStyle w:val="TabloKlavuzu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559"/>
              <w:gridCol w:w="1843"/>
              <w:gridCol w:w="1843"/>
              <w:gridCol w:w="1984"/>
            </w:tblGrid>
            <w:tr w:rsidR="000F6B05" w:rsidRPr="00C970F2" w:rsidTr="002D2FB2">
              <w:tc>
                <w:tcPr>
                  <w:tcW w:w="1843" w:type="dxa"/>
                </w:tcPr>
                <w:p w:rsidR="000F6B05" w:rsidRPr="00C970F2" w:rsidRDefault="000F6B05" w:rsidP="000F6B05">
                  <w:pPr>
                    <w:jc w:val="center"/>
                    <w:rPr>
                      <w:b/>
                    </w:rPr>
                  </w:pPr>
                  <w:r w:rsidRPr="00C970F2">
                    <w:rPr>
                      <w:b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0F6B05" w:rsidRPr="00C970F2" w:rsidRDefault="000F6B05" w:rsidP="000F6B05">
                  <w:pPr>
                    <w:jc w:val="center"/>
                    <w:rPr>
                      <w:b/>
                    </w:rPr>
                  </w:pPr>
                  <w:r w:rsidRPr="00C970F2">
                    <w:rPr>
                      <w:b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0F6B05" w:rsidRPr="00C970F2" w:rsidRDefault="000F6B05" w:rsidP="000F6B05">
                  <w:pPr>
                    <w:jc w:val="center"/>
                    <w:rPr>
                      <w:b/>
                    </w:rPr>
                  </w:pPr>
                  <w:r w:rsidRPr="00C970F2">
                    <w:rPr>
                      <w:b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0F6B05" w:rsidRPr="00C970F2" w:rsidRDefault="000F6B05" w:rsidP="000F6B05">
                  <w:pPr>
                    <w:jc w:val="center"/>
                    <w:rPr>
                      <w:b/>
                    </w:rPr>
                  </w:pPr>
                  <w:r w:rsidRPr="00C970F2">
                    <w:rPr>
                      <w:b/>
                    </w:rPr>
                    <w:t>4</w:t>
                  </w:r>
                </w:p>
              </w:tc>
              <w:tc>
                <w:tcPr>
                  <w:tcW w:w="1984" w:type="dxa"/>
                </w:tcPr>
                <w:p w:rsidR="000F6B05" w:rsidRPr="00C970F2" w:rsidRDefault="000F6B05" w:rsidP="000F6B05">
                  <w:pPr>
                    <w:jc w:val="center"/>
                    <w:rPr>
                      <w:b/>
                    </w:rPr>
                  </w:pPr>
                  <w:r w:rsidRPr="00C970F2">
                    <w:rPr>
                      <w:b/>
                    </w:rPr>
                    <w:t>5</w:t>
                  </w:r>
                </w:p>
              </w:tc>
            </w:tr>
            <w:tr w:rsidR="000F6B05" w:rsidRPr="00C970F2" w:rsidTr="002D2FB2">
              <w:trPr>
                <w:trHeight w:val="70"/>
              </w:trPr>
              <w:tc>
                <w:tcPr>
                  <w:tcW w:w="1843" w:type="dxa"/>
                </w:tcPr>
                <w:p w:rsidR="000F6B05" w:rsidRPr="00C970F2" w:rsidRDefault="000F6B05" w:rsidP="000F6B05">
                  <w:pPr>
                    <w:rPr>
                      <w:b/>
                    </w:rPr>
                  </w:pPr>
                  <w:r w:rsidRPr="00C970F2">
                    <w:rPr>
                      <w:shd w:val="clear" w:color="auto" w:fill="FFFFFF"/>
                    </w:rPr>
                    <w:t xml:space="preserve">Birimde </w:t>
                  </w:r>
                  <w:proofErr w:type="spellStart"/>
                  <w:r w:rsidRPr="00C970F2">
                    <w:rPr>
                      <w:shd w:val="clear" w:color="auto" w:fill="FFFFFF"/>
                    </w:rPr>
                    <w:t>uluslararasılaşma</w:t>
                  </w:r>
                  <w:proofErr w:type="spellEnd"/>
                  <w:r w:rsidRPr="00C970F2">
                    <w:rPr>
                      <w:shd w:val="clear" w:color="auto" w:fill="FFFFFF"/>
                    </w:rPr>
                    <w:t xml:space="preserve"> faaliyeti bulunmamaktadır.</w:t>
                  </w:r>
                </w:p>
              </w:tc>
              <w:tc>
                <w:tcPr>
                  <w:tcW w:w="1559" w:type="dxa"/>
                </w:tcPr>
                <w:p w:rsidR="000F6B05" w:rsidRPr="00C970F2" w:rsidRDefault="000F6B05" w:rsidP="000F6B05">
                  <w:pPr>
                    <w:rPr>
                      <w:b/>
                    </w:rPr>
                  </w:pPr>
                  <w:r w:rsidRPr="00C970F2">
                    <w:rPr>
                      <w:shd w:val="clear" w:color="auto" w:fill="FFFFFF"/>
                    </w:rPr>
                    <w:t xml:space="preserve">Birimde </w:t>
                  </w:r>
                  <w:proofErr w:type="spellStart"/>
                  <w:r w:rsidRPr="00C970F2">
                    <w:rPr>
                      <w:shd w:val="clear" w:color="auto" w:fill="FFFFFF"/>
                    </w:rPr>
                    <w:t>uluslararasılaşma</w:t>
                  </w:r>
                  <w:proofErr w:type="spellEnd"/>
                  <w:r w:rsidRPr="00C970F2">
                    <w:rPr>
                      <w:shd w:val="clear" w:color="auto" w:fill="FFFFFF"/>
                    </w:rPr>
                    <w:t xml:space="preserve"> göstergeleri tanımlıdır ve faaliyetlere yönelik planlamalar bulunmaktadır.</w:t>
                  </w:r>
                </w:p>
              </w:tc>
              <w:tc>
                <w:tcPr>
                  <w:tcW w:w="1843" w:type="dxa"/>
                </w:tcPr>
                <w:p w:rsidR="000F6B05" w:rsidRPr="00C970F2" w:rsidRDefault="000F6B05" w:rsidP="000F6B05">
                  <w:pPr>
                    <w:rPr>
                      <w:b/>
                    </w:rPr>
                  </w:pPr>
                  <w:r w:rsidRPr="00C970F2">
                    <w:rPr>
                      <w:shd w:val="clear" w:color="auto" w:fill="FFFFFF"/>
                    </w:rPr>
                    <w:t xml:space="preserve">Birim geneline yayılmış </w:t>
                  </w:r>
                  <w:proofErr w:type="spellStart"/>
                  <w:r w:rsidRPr="00C970F2">
                    <w:rPr>
                      <w:shd w:val="clear" w:color="auto" w:fill="FFFFFF"/>
                    </w:rPr>
                    <w:t>uluslararasılaşma</w:t>
                  </w:r>
                  <w:proofErr w:type="spellEnd"/>
                  <w:r w:rsidRPr="00C970F2">
                    <w:rPr>
                      <w:shd w:val="clear" w:color="auto" w:fill="FFFFFF"/>
                    </w:rPr>
                    <w:t xml:space="preserve"> faaliyetleri bulunmaktadır.</w:t>
                  </w:r>
                </w:p>
              </w:tc>
              <w:tc>
                <w:tcPr>
                  <w:tcW w:w="1843" w:type="dxa"/>
                </w:tcPr>
                <w:p w:rsidR="000F6B05" w:rsidRPr="00C970F2" w:rsidRDefault="000F6B05" w:rsidP="000F6B05">
                  <w:pPr>
                    <w:spacing w:line="276" w:lineRule="auto"/>
                    <w:rPr>
                      <w:b/>
                    </w:rPr>
                  </w:pPr>
                  <w:r w:rsidRPr="00C970F2">
                    <w:rPr>
                      <w:shd w:val="clear" w:color="auto" w:fill="FFFFFF"/>
                    </w:rPr>
                    <w:t xml:space="preserve">Birimde </w:t>
                  </w:r>
                  <w:proofErr w:type="spellStart"/>
                  <w:r w:rsidRPr="00C970F2">
                    <w:rPr>
                      <w:shd w:val="clear" w:color="auto" w:fill="FFFFFF"/>
                    </w:rPr>
                    <w:t>uluslararasılaşma</w:t>
                  </w:r>
                  <w:proofErr w:type="spellEnd"/>
                  <w:r w:rsidRPr="00C970F2">
                    <w:rPr>
                      <w:shd w:val="clear" w:color="auto" w:fill="FFFFFF"/>
                    </w:rPr>
                    <w:t xml:space="preserve"> faaliyetleri izlenmekte ve iyileştirilmektedir</w:t>
                  </w:r>
                </w:p>
              </w:tc>
              <w:tc>
                <w:tcPr>
                  <w:tcW w:w="1984" w:type="dxa"/>
                </w:tcPr>
                <w:p w:rsidR="000F6B05" w:rsidRPr="00C970F2" w:rsidRDefault="000F6B05" w:rsidP="000F6B05">
                  <w:pPr>
                    <w:rPr>
                      <w:b/>
                    </w:rPr>
                  </w:pPr>
                  <w:r w:rsidRPr="00C970F2">
                    <w:rPr>
                      <w:shd w:val="clear" w:color="auto" w:fill="FFFFFF"/>
                    </w:rPr>
                    <w:t>İçselleştirilmiş, sistematik, sürdürülebilir ve örnek gösterilebilir uygulamalar bulunmaktadır.</w:t>
                  </w:r>
                </w:p>
              </w:tc>
            </w:tr>
            <w:tr w:rsidR="000F6B05" w:rsidRPr="00C970F2" w:rsidTr="002D2FB2">
              <w:trPr>
                <w:trHeight w:val="284"/>
              </w:trPr>
              <w:tc>
                <w:tcPr>
                  <w:tcW w:w="1843" w:type="dxa"/>
                </w:tcPr>
                <w:p w:rsidR="000F6B05" w:rsidRPr="00C970F2" w:rsidRDefault="000F6B05" w:rsidP="000F6B0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59" w:type="dxa"/>
                </w:tcPr>
                <w:p w:rsidR="000F6B05" w:rsidRPr="00C970F2" w:rsidRDefault="000F6B05" w:rsidP="000F6B05">
                  <w:pPr>
                    <w:jc w:val="center"/>
                    <w:rPr>
                      <w:b/>
                    </w:rPr>
                  </w:pPr>
                  <w:r w:rsidRPr="00C970F2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:rsidR="000F6B05" w:rsidRPr="00C970F2" w:rsidRDefault="000F6B05" w:rsidP="000F6B05">
                  <w:pPr>
                    <w:rPr>
                      <w:b/>
                    </w:rPr>
                  </w:pPr>
                  <w:r w:rsidRPr="00C970F2">
                    <w:rPr>
                      <w:b/>
                    </w:rPr>
                    <w:t>X</w:t>
                  </w:r>
                </w:p>
              </w:tc>
              <w:tc>
                <w:tcPr>
                  <w:tcW w:w="1843" w:type="dxa"/>
                </w:tcPr>
                <w:p w:rsidR="000F6B05" w:rsidRPr="00C970F2" w:rsidRDefault="000F6B05" w:rsidP="000F6B0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84" w:type="dxa"/>
                </w:tcPr>
                <w:p w:rsidR="000F6B05" w:rsidRPr="00C970F2" w:rsidRDefault="000F6B05" w:rsidP="000F6B05">
                  <w:pPr>
                    <w:rPr>
                      <w:b/>
                    </w:rPr>
                  </w:pPr>
                </w:p>
              </w:tc>
            </w:tr>
          </w:tbl>
          <w:p w:rsidR="000F6B05" w:rsidRPr="00C970F2" w:rsidRDefault="000F6B05" w:rsidP="000F6B05">
            <w:pPr>
              <w:pStyle w:val="Default"/>
              <w:spacing w:before="120" w:line="360" w:lineRule="auto"/>
              <w:jc w:val="both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C970F2">
              <w:rPr>
                <w:b/>
                <w:bCs/>
                <w:iCs/>
                <w:color w:val="auto"/>
                <w:sz w:val="22"/>
                <w:szCs w:val="22"/>
              </w:rPr>
              <w:t>Örnek Kanıtlar:</w:t>
            </w:r>
            <w:r w:rsidRPr="00C970F2">
              <w:rPr>
                <w:rFonts w:eastAsia="Times New Roman"/>
                <w:b/>
                <w:iCs/>
                <w:noProof/>
                <w:color w:val="auto"/>
                <w:sz w:val="22"/>
                <w:szCs w:val="22"/>
              </w:rPr>
              <w:t xml:space="preserve"> </w:t>
            </w:r>
          </w:p>
          <w:p w:rsidR="000F6B05" w:rsidRPr="00C970F2" w:rsidRDefault="000F6B05" w:rsidP="000F6B05">
            <w:pPr>
              <w:pStyle w:val="Default"/>
              <w:numPr>
                <w:ilvl w:val="0"/>
                <w:numId w:val="2"/>
              </w:numPr>
              <w:spacing w:line="360" w:lineRule="auto"/>
              <w:ind w:left="426"/>
              <w:jc w:val="both"/>
              <w:rPr>
                <w:rStyle w:val="Kpr"/>
                <w:bCs/>
                <w:color w:val="auto"/>
                <w:sz w:val="22"/>
                <w:szCs w:val="22"/>
              </w:rPr>
            </w:pPr>
            <w:r w:rsidRPr="00C970F2">
              <w:rPr>
                <w:bCs/>
                <w:color w:val="auto"/>
                <w:sz w:val="22"/>
                <w:szCs w:val="22"/>
              </w:rPr>
              <w:t xml:space="preserve">Kanıt 1: </w:t>
            </w:r>
            <w:hyperlink r:id="rId7" w:history="1">
              <w:proofErr w:type="spellStart"/>
              <w:r w:rsidRPr="00C970F2">
                <w:rPr>
                  <w:rStyle w:val="Kpr"/>
                  <w:bCs/>
                  <w:color w:val="auto"/>
                  <w:sz w:val="22"/>
                  <w:szCs w:val="22"/>
                </w:rPr>
                <w:t>Erasmus</w:t>
              </w:r>
              <w:proofErr w:type="spellEnd"/>
            </w:hyperlink>
            <w:r w:rsidRPr="00C970F2">
              <w:rPr>
                <w:rStyle w:val="Kpr"/>
                <w:bCs/>
                <w:color w:val="auto"/>
                <w:sz w:val="22"/>
                <w:szCs w:val="22"/>
              </w:rPr>
              <w:t xml:space="preserve"> Kapsamındaki Öğrenciler (2)</w:t>
            </w:r>
          </w:p>
          <w:p w:rsidR="000F6B05" w:rsidRPr="00C970F2" w:rsidRDefault="000F6B05" w:rsidP="000F6B05">
            <w:pPr>
              <w:pStyle w:val="Default"/>
              <w:numPr>
                <w:ilvl w:val="0"/>
                <w:numId w:val="2"/>
              </w:numPr>
              <w:spacing w:line="360" w:lineRule="auto"/>
              <w:ind w:left="426"/>
              <w:jc w:val="both"/>
              <w:rPr>
                <w:bCs/>
                <w:color w:val="auto"/>
                <w:sz w:val="22"/>
                <w:szCs w:val="22"/>
              </w:rPr>
            </w:pPr>
            <w:r w:rsidRPr="00C970F2">
              <w:rPr>
                <w:rStyle w:val="Kpr"/>
                <w:bCs/>
                <w:color w:val="auto"/>
                <w:sz w:val="22"/>
                <w:szCs w:val="22"/>
              </w:rPr>
              <w:t>Kanıt 2: Yabancı Uyruklu Öğrenci Sayısı (2)</w:t>
            </w:r>
          </w:p>
          <w:p w:rsidR="00D03DDA" w:rsidRDefault="00D03DDA" w:rsidP="000F6B05">
            <w:pPr>
              <w:pStyle w:val="TableParagraph"/>
              <w:tabs>
                <w:tab w:val="left" w:pos="820"/>
              </w:tabs>
              <w:rPr>
                <w:sz w:val="24"/>
              </w:rPr>
            </w:pPr>
          </w:p>
        </w:tc>
      </w:tr>
    </w:tbl>
    <w:p w:rsidR="00D03DDA" w:rsidRDefault="00D03DDA">
      <w:pPr>
        <w:spacing w:before="52"/>
      </w:pPr>
    </w:p>
    <w:p w:rsidR="00B152D1" w:rsidRPr="00087859" w:rsidRDefault="00B152D1" w:rsidP="00B152D1">
      <w:pPr>
        <w:pStyle w:val="AltBilgi"/>
        <w:jc w:val="center"/>
        <w:rPr>
          <w:rFonts w:ascii="Times New Roman" w:hAnsi="Times New Roman" w:cs="Times New Roman"/>
          <w:b/>
          <w:i/>
        </w:rPr>
      </w:pPr>
      <w:r w:rsidRPr="00087859">
        <w:rPr>
          <w:rFonts w:ascii="Times New Roman" w:hAnsi="Times New Roman" w:cs="Times New Roman"/>
          <w:b/>
          <w:i/>
        </w:rPr>
        <w:t>Burdur Mehmet Akif Ersoy Üniversitesi Eğitim Bilimleri Enstitüsü İstiklal Yerleşkesi, 15030 BURDUR</w:t>
      </w:r>
    </w:p>
    <w:p w:rsidR="00B152D1" w:rsidRPr="00087859" w:rsidRDefault="00B152D1" w:rsidP="00B152D1">
      <w:pPr>
        <w:pStyle w:val="AltBilgi"/>
        <w:jc w:val="center"/>
        <w:rPr>
          <w:rFonts w:ascii="Times New Roman" w:hAnsi="Times New Roman" w:cs="Times New Roman"/>
          <w:b/>
          <w:i/>
        </w:rPr>
      </w:pPr>
      <w:r w:rsidRPr="00087859">
        <w:rPr>
          <w:rFonts w:ascii="Times New Roman" w:hAnsi="Times New Roman" w:cs="Times New Roman"/>
          <w:b/>
          <w:i/>
        </w:rPr>
        <w:t>Tel: +90 248 213 32 02   e</w:t>
      </w:r>
      <w:r>
        <w:rPr>
          <w:rFonts w:ascii="Times New Roman" w:hAnsi="Times New Roman" w:cs="Times New Roman"/>
          <w:b/>
          <w:i/>
        </w:rPr>
        <w:t>-</w:t>
      </w:r>
      <w:r w:rsidRPr="00087859">
        <w:rPr>
          <w:rFonts w:ascii="Times New Roman" w:hAnsi="Times New Roman" w:cs="Times New Roman"/>
          <w:b/>
          <w:i/>
        </w:rPr>
        <w:t>posta: ebe@mehmetakif.edu.tr</w:t>
      </w:r>
    </w:p>
    <w:p w:rsidR="00D03DDA" w:rsidRDefault="00D03DDA" w:rsidP="00B152D1">
      <w:pPr>
        <w:pStyle w:val="GvdeMetni"/>
        <w:ind w:left="3093" w:right="1268"/>
      </w:pPr>
    </w:p>
    <w:sectPr w:rsidR="00D03DDA">
      <w:type w:val="continuous"/>
      <w:pgSz w:w="11910" w:h="16840"/>
      <w:pgMar w:top="680" w:right="28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D18A5"/>
    <w:multiLevelType w:val="hybridMultilevel"/>
    <w:tmpl w:val="512C6D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55813"/>
    <w:multiLevelType w:val="hybridMultilevel"/>
    <w:tmpl w:val="17207628"/>
    <w:lvl w:ilvl="0" w:tplc="4EFA6402">
      <w:start w:val="1"/>
      <w:numFmt w:val="decimal"/>
      <w:lvlText w:val="%1."/>
      <w:lvlJc w:val="left"/>
      <w:pPr>
        <w:ind w:left="820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A86BF82">
      <w:numFmt w:val="bullet"/>
      <w:lvlText w:val="•"/>
      <w:lvlJc w:val="left"/>
      <w:pPr>
        <w:ind w:left="1840" w:hanging="356"/>
      </w:pPr>
      <w:rPr>
        <w:rFonts w:hint="default"/>
        <w:lang w:val="tr-TR" w:eastAsia="en-US" w:bidi="ar-SA"/>
      </w:rPr>
    </w:lvl>
    <w:lvl w:ilvl="2" w:tplc="582285BC">
      <w:numFmt w:val="bullet"/>
      <w:lvlText w:val="•"/>
      <w:lvlJc w:val="left"/>
      <w:pPr>
        <w:ind w:left="2861" w:hanging="356"/>
      </w:pPr>
      <w:rPr>
        <w:rFonts w:hint="default"/>
        <w:lang w:val="tr-TR" w:eastAsia="en-US" w:bidi="ar-SA"/>
      </w:rPr>
    </w:lvl>
    <w:lvl w:ilvl="3" w:tplc="021A07D2">
      <w:numFmt w:val="bullet"/>
      <w:lvlText w:val="•"/>
      <w:lvlJc w:val="left"/>
      <w:pPr>
        <w:ind w:left="3882" w:hanging="356"/>
      </w:pPr>
      <w:rPr>
        <w:rFonts w:hint="default"/>
        <w:lang w:val="tr-TR" w:eastAsia="en-US" w:bidi="ar-SA"/>
      </w:rPr>
    </w:lvl>
    <w:lvl w:ilvl="4" w:tplc="50CCF94E">
      <w:numFmt w:val="bullet"/>
      <w:lvlText w:val="•"/>
      <w:lvlJc w:val="left"/>
      <w:pPr>
        <w:ind w:left="4903" w:hanging="356"/>
      </w:pPr>
      <w:rPr>
        <w:rFonts w:hint="default"/>
        <w:lang w:val="tr-TR" w:eastAsia="en-US" w:bidi="ar-SA"/>
      </w:rPr>
    </w:lvl>
    <w:lvl w:ilvl="5" w:tplc="AE628A0E">
      <w:numFmt w:val="bullet"/>
      <w:lvlText w:val="•"/>
      <w:lvlJc w:val="left"/>
      <w:pPr>
        <w:ind w:left="5924" w:hanging="356"/>
      </w:pPr>
      <w:rPr>
        <w:rFonts w:hint="default"/>
        <w:lang w:val="tr-TR" w:eastAsia="en-US" w:bidi="ar-SA"/>
      </w:rPr>
    </w:lvl>
    <w:lvl w:ilvl="6" w:tplc="C1D0FA92">
      <w:numFmt w:val="bullet"/>
      <w:lvlText w:val="•"/>
      <w:lvlJc w:val="left"/>
      <w:pPr>
        <w:ind w:left="6944" w:hanging="356"/>
      </w:pPr>
      <w:rPr>
        <w:rFonts w:hint="default"/>
        <w:lang w:val="tr-TR" w:eastAsia="en-US" w:bidi="ar-SA"/>
      </w:rPr>
    </w:lvl>
    <w:lvl w:ilvl="7" w:tplc="69EE39BA">
      <w:numFmt w:val="bullet"/>
      <w:lvlText w:val="•"/>
      <w:lvlJc w:val="left"/>
      <w:pPr>
        <w:ind w:left="7965" w:hanging="356"/>
      </w:pPr>
      <w:rPr>
        <w:rFonts w:hint="default"/>
        <w:lang w:val="tr-TR" w:eastAsia="en-US" w:bidi="ar-SA"/>
      </w:rPr>
    </w:lvl>
    <w:lvl w:ilvl="8" w:tplc="E04445DE">
      <w:numFmt w:val="bullet"/>
      <w:lvlText w:val="•"/>
      <w:lvlJc w:val="left"/>
      <w:pPr>
        <w:ind w:left="8986" w:hanging="35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DA"/>
    <w:rsid w:val="000F6B05"/>
    <w:rsid w:val="00B152D1"/>
    <w:rsid w:val="00D03DDA"/>
    <w:rsid w:val="00E0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8497"/>
  <w15:docId w15:val="{45573D68-CBBB-4F58-A9CE-8FF83A00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hanging="1865"/>
    </w:pPr>
    <w:rPr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0" w:hanging="355"/>
    </w:pPr>
  </w:style>
  <w:style w:type="paragraph" w:styleId="AltBilgi">
    <w:name w:val="footer"/>
    <w:basedOn w:val="Normal"/>
    <w:link w:val="AltBilgiChar"/>
    <w:uiPriority w:val="99"/>
    <w:unhideWhenUsed/>
    <w:rsid w:val="00B152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B152D1"/>
    <w:rPr>
      <w:lang w:val="tr-TR"/>
    </w:rPr>
  </w:style>
  <w:style w:type="paragraph" w:customStyle="1" w:styleId="Default">
    <w:name w:val="Default"/>
    <w:rsid w:val="000F6B0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0F6B0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F6B05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e.mehmetakif.edu.tr/yonetim/4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</dc:creator>
  <cp:lastModifiedBy>USER</cp:lastModifiedBy>
  <cp:revision>2</cp:revision>
  <dcterms:created xsi:type="dcterms:W3CDTF">2023-10-13T11:52:00Z</dcterms:created>
  <dcterms:modified xsi:type="dcterms:W3CDTF">2023-10-13T11:52:00Z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2023-10-13T00:00:00Z</vt:filetime>
  </property>
  <property fmtid="{D5CDD505-2E9C-101B-9397-08002B2CF9AE}" pid="5" name="Producer">
    <vt:lpwstr>Microsoft® Word 2016</vt:lpwstr>
  </property>
</Properties>
</file>