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03EFA67" w14:textId="77777777" w:rsidTr="00864B0E">
        <w:trPr>
          <w:trHeight w:val="567"/>
        </w:trPr>
        <w:tc>
          <w:tcPr>
            <w:tcW w:w="421" w:type="dxa"/>
          </w:tcPr>
          <w:p w14:paraId="63439152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22AD520" w14:textId="2686F766" w:rsidR="004974B7" w:rsidRPr="0045181E" w:rsidRDefault="002C165D" w:rsidP="003159AA">
            <w:pPr>
              <w:pStyle w:val="msobodytextindent"/>
              <w:spacing w:line="360" w:lineRule="auto"/>
              <w:rPr>
                <w:szCs w:val="24"/>
              </w:rPr>
            </w:pPr>
            <w:r w:rsidRPr="00B5295C">
              <w:t xml:space="preserve"> 2024 yılı Birim Öz Değerlendirme </w:t>
            </w:r>
            <w:r w:rsidR="00D622DD">
              <w:t>R</w:t>
            </w:r>
            <w:r w:rsidRPr="00B5295C">
              <w:t>aporunun</w:t>
            </w:r>
            <w:r w:rsidR="00D622DD">
              <w:t xml:space="preserve"> (BÖDR)</w:t>
            </w:r>
            <w:r w:rsidRPr="00B5295C">
              <w:t xml:space="preserve"> </w:t>
            </w:r>
            <w:r>
              <w:t>hazırlanması</w:t>
            </w:r>
            <w:r w:rsidRPr="00B5295C">
              <w:t xml:space="preserve"> hakkında görüş alışverişinde bulunulması.</w:t>
            </w:r>
            <w:r w:rsidR="00372C47">
              <w:t xml:space="preserve"> Komisyon üyelerine yeni dönem kalite raporunun amaç ve içeriğinin anlatılması</w:t>
            </w:r>
          </w:p>
        </w:tc>
      </w:tr>
      <w:tr w:rsidR="004974B7" w:rsidRPr="0045181E" w14:paraId="598BE347" w14:textId="77777777" w:rsidTr="00864B0E">
        <w:trPr>
          <w:trHeight w:val="567"/>
        </w:trPr>
        <w:tc>
          <w:tcPr>
            <w:tcW w:w="421" w:type="dxa"/>
          </w:tcPr>
          <w:p w14:paraId="7B1909B8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A96E2EA" w14:textId="46BBF1FB" w:rsidR="004974B7" w:rsidRPr="0045181E" w:rsidRDefault="002C165D" w:rsidP="003159AA">
            <w:pPr>
              <w:pStyle w:val="msobodytextindent"/>
              <w:spacing w:line="360" w:lineRule="auto"/>
              <w:rPr>
                <w:szCs w:val="24"/>
              </w:rPr>
            </w:pPr>
            <w:r>
              <w:t xml:space="preserve">Enstitümüz Birim Kalite Komisyonu öncülüğünde, öğrencilerimizin </w:t>
            </w:r>
            <w:r w:rsidR="00D622DD">
              <w:t xml:space="preserve">Eğitim-Öğretim </w:t>
            </w:r>
            <w:r w:rsidR="00780108">
              <w:t xml:space="preserve">ve </w:t>
            </w:r>
            <w:r w:rsidR="00D622DD">
              <w:t xml:space="preserve">Araştırma Geliştirme (Ar-Ge) </w:t>
            </w:r>
            <w:r w:rsidR="00780108">
              <w:t>faaliyetleri ile ilgili</w:t>
            </w:r>
            <w:r>
              <w:t xml:space="preserve"> farkındalıklarını arttırmak için neler yapılabileceğinin görüşülmesi.</w:t>
            </w:r>
          </w:p>
        </w:tc>
      </w:tr>
      <w:tr w:rsidR="004974B7" w:rsidRPr="0045181E" w14:paraId="5F0180FF" w14:textId="77777777" w:rsidTr="00864B0E">
        <w:trPr>
          <w:trHeight w:val="567"/>
        </w:trPr>
        <w:tc>
          <w:tcPr>
            <w:tcW w:w="421" w:type="dxa"/>
          </w:tcPr>
          <w:p w14:paraId="669B0471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406413C" w14:textId="1530B8D8" w:rsidR="004974B7" w:rsidRDefault="00106EAE" w:rsidP="003159AA">
            <w:pPr>
              <w:pStyle w:val="msobodytextindent"/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Fen Bilimleri Enstitüsü bünyesinde gerçekleştirilen </w:t>
            </w:r>
            <w:r w:rsidR="00D622DD">
              <w:rPr>
                <w:rFonts w:eastAsia="Calibri"/>
                <w:lang w:eastAsia="en-US"/>
              </w:rPr>
              <w:t>Eğitim-Öğretim</w:t>
            </w:r>
            <w:r>
              <w:rPr>
                <w:rFonts w:eastAsia="Calibri"/>
                <w:lang w:eastAsia="en-US"/>
              </w:rPr>
              <w:t xml:space="preserve">- Ar-Ge ve Kalite Faaliyetlerinin duyurulması ile ilgili çalışmalar 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6A7381CE" w:rsidR="00B1164C" w:rsidRPr="004D3A91" w:rsidRDefault="00B1164C" w:rsidP="003159AA">
            <w:pPr>
              <w:spacing w:line="360" w:lineRule="auto"/>
            </w:pPr>
            <w:r w:rsidRPr="004D794C">
              <w:t xml:space="preserve">Dilek ve </w:t>
            </w:r>
            <w:r w:rsidR="00D622DD">
              <w:t>T</w:t>
            </w:r>
            <w:r w:rsidRPr="004D794C">
              <w:t xml:space="preserve">emenniler ile </w:t>
            </w:r>
            <w:r w:rsidR="00D622DD">
              <w:t>K</w:t>
            </w:r>
            <w:r w:rsidRPr="004D794C">
              <w:t>apanış</w:t>
            </w:r>
            <w:r w:rsidRPr="002A18F7">
              <w:rPr>
                <w:b/>
              </w:rPr>
              <w:t xml:space="preserve">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287F9177" w14:textId="31D01247" w:rsidR="004974B7" w:rsidRPr="004D3A91" w:rsidRDefault="009A06CF" w:rsidP="003E19F7">
            <w:pPr>
              <w:spacing w:line="360" w:lineRule="auto"/>
              <w:rPr>
                <w:rFonts w:eastAsia="Calibri"/>
                <w:lang w:eastAsia="en-US"/>
              </w:rPr>
            </w:pPr>
            <w:r w:rsidRPr="004D3A91">
              <w:rPr>
                <w:rFonts w:eastAsia="Calibri"/>
                <w:lang w:eastAsia="en-US"/>
              </w:rPr>
              <w:t xml:space="preserve">Fen Bilimleri Enstitüsü Birim Kalite Komisyonu Toplantısı </w:t>
            </w:r>
            <w:r w:rsidR="003159AA">
              <w:rPr>
                <w:rFonts w:eastAsia="Calibri"/>
                <w:lang w:eastAsia="en-US"/>
              </w:rPr>
              <w:t>06</w:t>
            </w:r>
            <w:r w:rsidRPr="004D3A91">
              <w:rPr>
                <w:rFonts w:eastAsia="Calibri"/>
                <w:lang w:eastAsia="en-US"/>
              </w:rPr>
              <w:t>.0</w:t>
            </w:r>
            <w:r w:rsidR="003159AA">
              <w:rPr>
                <w:rFonts w:eastAsia="Calibri"/>
                <w:lang w:eastAsia="en-US"/>
              </w:rPr>
              <w:t>3</w:t>
            </w:r>
            <w:r w:rsidRPr="004D3A91">
              <w:rPr>
                <w:rFonts w:eastAsia="Calibri"/>
                <w:lang w:eastAsia="en-US"/>
              </w:rPr>
              <w:t>.</w:t>
            </w:r>
            <w:r w:rsidR="004D3A91">
              <w:rPr>
                <w:rFonts w:eastAsia="Calibri"/>
                <w:lang w:eastAsia="en-US"/>
              </w:rPr>
              <w:t>2024</w:t>
            </w:r>
            <w:r w:rsidRPr="004D3A91">
              <w:rPr>
                <w:rFonts w:eastAsia="Calibri"/>
                <w:lang w:eastAsia="en-US"/>
              </w:rPr>
              <w:t xml:space="preserve"> Pazartesi günü saat: 10.30’da Enstitümüz toplantı salonunda </w:t>
            </w:r>
            <w:r w:rsidR="00142EDC" w:rsidRPr="004D3A91">
              <w:t xml:space="preserve">Komisyon Başkanı Dr. Öğr. Üyesi Duygu Ceren ÇAĞLAN KAYA başkanlığında, Kalite Komisyonu Üyelerinin </w:t>
            </w:r>
            <w:r w:rsidRPr="004D3A91">
              <w:rPr>
                <w:rFonts w:eastAsia="Calibri"/>
                <w:lang w:eastAsia="en-US"/>
              </w:rPr>
              <w:t xml:space="preserve">katılımıyla yukarıdaki gündem maddelerini görüşmek üzere toplanmıştır. </w:t>
            </w:r>
          </w:p>
          <w:p w14:paraId="208482D9" w14:textId="3948E394" w:rsidR="00901C1D" w:rsidRDefault="00A11A79" w:rsidP="003159AA">
            <w:pPr>
              <w:pStyle w:val="ListeParagraf"/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318"/>
            </w:pPr>
            <w:r w:rsidRPr="004D3A91">
              <w:t>A</w:t>
            </w:r>
            <w:r w:rsidR="00FC5E70" w:rsidRPr="004D3A91">
              <w:t>rş</w:t>
            </w:r>
            <w:r w:rsidRPr="004D3A91">
              <w:t>. Gör. Ayşe Betül GÖ</w:t>
            </w:r>
            <w:r w:rsidR="00D622DD">
              <w:t>K tarafından</w:t>
            </w:r>
            <w:r w:rsidR="007B4537" w:rsidRPr="004D3A91">
              <w:t>; Yüksek Öğretim Kalite Kurulu (YÖKAK), Kurumsal Akreditasyon Programı (KAP), KAP Değerlendirme Süreci, KAP Değerlendirme Kriterleri</w:t>
            </w:r>
            <w:r w:rsidRPr="004D3A91">
              <w:t xml:space="preserve"> anlatıldı. </w:t>
            </w:r>
            <w:r w:rsidR="007B4537" w:rsidRPr="004D3A91">
              <w:t>Enstitümüzün ve Ana Bilim Dallarımızın</w:t>
            </w:r>
            <w:r w:rsidR="00D622DD">
              <w:t xml:space="preserve"> (ABD)</w:t>
            </w:r>
            <w:r w:rsidR="007B4537" w:rsidRPr="004D3A91">
              <w:t xml:space="preserve"> </w:t>
            </w:r>
            <w:r w:rsidR="00D622DD">
              <w:t>K</w:t>
            </w:r>
            <w:r w:rsidRPr="004D3A91">
              <w:t>alite</w:t>
            </w:r>
            <w:r w:rsidR="007B4537" w:rsidRPr="004D3A91">
              <w:t xml:space="preserve"> süre</w:t>
            </w:r>
            <w:r w:rsidRPr="004D3A91">
              <w:t xml:space="preserve">cindeki </w:t>
            </w:r>
            <w:r w:rsidR="007B4537" w:rsidRPr="004D3A91">
              <w:t>görev ve sorumlulukları hakkında bilgilendirmeler yapıl</w:t>
            </w:r>
            <w:r w:rsidRPr="004D3A91">
              <w:t>dı.</w:t>
            </w:r>
            <w:r w:rsidR="007B4537" w:rsidRPr="004D3A91">
              <w:t xml:space="preserve"> </w:t>
            </w:r>
            <w:r w:rsidR="00643BFA" w:rsidRPr="004D3A91">
              <w:t>B</w:t>
            </w:r>
            <w:r w:rsidR="00780108" w:rsidRPr="004D3A91">
              <w:t>Ö</w:t>
            </w:r>
            <w:r w:rsidR="00643BFA" w:rsidRPr="004D3A91">
              <w:t>DR hazırlama</w:t>
            </w:r>
            <w:r w:rsidR="007B4537" w:rsidRPr="004D3A91">
              <w:t xml:space="preserve"> sürecinde izlenecek yol ve bu </w:t>
            </w:r>
            <w:r w:rsidR="00643BFA" w:rsidRPr="004D3A91">
              <w:t xml:space="preserve">süreçte </w:t>
            </w:r>
            <w:r w:rsidR="007B4537" w:rsidRPr="004D3A91">
              <w:t>akademik ve idari personel, öğrenciler</w:t>
            </w:r>
            <w:r w:rsidR="00643BFA" w:rsidRPr="004D3A91">
              <w:t xml:space="preserve">, </w:t>
            </w:r>
            <w:r w:rsidR="007B4537" w:rsidRPr="004D3A91">
              <w:t xml:space="preserve">iç ve dış paydaşların </w:t>
            </w:r>
            <w:r w:rsidR="00643BFA" w:rsidRPr="004D3A91">
              <w:t>katılımı hakkında bilgi paylaşımı yapıldı</w:t>
            </w:r>
            <w:r w:rsidR="007B4537" w:rsidRPr="004D3A91">
              <w:t>.</w:t>
            </w:r>
          </w:p>
          <w:p w14:paraId="0D1EB840" w14:textId="6D010A55" w:rsidR="00901C1D" w:rsidRPr="003159AA" w:rsidRDefault="00D95B33" w:rsidP="003159AA">
            <w:pPr>
              <w:pStyle w:val="ListeParagraf"/>
              <w:spacing w:line="360" w:lineRule="auto"/>
              <w:ind w:left="601"/>
              <w:rPr>
                <w:rFonts w:eastAsia="Calibri"/>
              </w:rPr>
            </w:pPr>
            <w:r w:rsidRPr="004D3A91">
              <w:t xml:space="preserve">Sunumun ardından gündem maddelerine ilişkili olarak </w:t>
            </w:r>
            <w:r w:rsidRPr="004D3A91">
              <w:rPr>
                <w:rFonts w:eastAsia="Calibri"/>
              </w:rPr>
              <w:t>aşağıdaki kararlar alınmıştır:</w:t>
            </w:r>
          </w:p>
          <w:p w14:paraId="344D0785" w14:textId="4BBB2A2B" w:rsidR="004974B7" w:rsidRPr="004D3A91" w:rsidRDefault="00D622DD" w:rsidP="003159A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18"/>
            </w:pPr>
            <w:r>
              <w:t>Enstitü</w:t>
            </w:r>
            <w:r w:rsidR="003F2ABC" w:rsidRPr="004D3A91">
              <w:t xml:space="preserve"> öğrencilerinin </w:t>
            </w:r>
            <w:r>
              <w:t>K</w:t>
            </w:r>
            <w:r w:rsidR="003F2ABC" w:rsidRPr="004D3A91">
              <w:t>alite bilincini arttırmak amacıyla öğrencilere yönelik “Müdür- Öğrenci Buluşmaları” adı altında bir dizi söyleşi yapılması</w:t>
            </w:r>
            <w:r w:rsidR="00106EAE" w:rsidRPr="004D3A91">
              <w:t xml:space="preserve">, </w:t>
            </w:r>
          </w:p>
          <w:p w14:paraId="28873D5D" w14:textId="332D4F9F" w:rsidR="00AB1F6A" w:rsidRPr="004D3A91" w:rsidRDefault="005D5F09" w:rsidP="003159A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18"/>
            </w:pPr>
            <w:r w:rsidRPr="004D3A91">
              <w:t>Enstitü oryantasyon programlarının</w:t>
            </w:r>
            <w:r w:rsidR="00106EAE" w:rsidRPr="004D3A91">
              <w:t xml:space="preserve"> her</w:t>
            </w:r>
            <w:r w:rsidRPr="004D3A91">
              <w:t xml:space="preserve"> dönem</w:t>
            </w:r>
            <w:r w:rsidR="00106EAE" w:rsidRPr="004D3A91">
              <w:t xml:space="preserve"> başında tüm </w:t>
            </w:r>
            <w:r w:rsidR="00D622DD">
              <w:t>ABD</w:t>
            </w:r>
            <w:r w:rsidR="00106EAE" w:rsidRPr="004D3A91">
              <w:t xml:space="preserve"> öğrencilerinin ve Enstitü yönetiminin katılımı ile sağlanması, </w:t>
            </w:r>
          </w:p>
          <w:p w14:paraId="2C86B455" w14:textId="4FA5639E" w:rsidR="00D95B33" w:rsidRPr="004D3A91" w:rsidRDefault="00D622DD" w:rsidP="00D622DD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18"/>
            </w:pPr>
            <w:r>
              <w:rPr>
                <w:rFonts w:eastAsia="Calibri"/>
                <w:lang w:eastAsia="en-US"/>
              </w:rPr>
              <w:lastRenderedPageBreak/>
              <w:t>Enstitü</w:t>
            </w:r>
            <w:r w:rsidR="00AB1F6A" w:rsidRPr="00D622DD">
              <w:rPr>
                <w:rFonts w:eastAsia="Calibri"/>
                <w:lang w:eastAsia="en-US"/>
              </w:rPr>
              <w:t xml:space="preserve"> bünyesinde gerçekleştirilen</w:t>
            </w:r>
            <w:r w:rsidR="00AB1F6A" w:rsidRPr="004D3A91">
              <w:t xml:space="preserve"> </w:t>
            </w:r>
            <w:r w:rsidR="00780108" w:rsidRPr="004D3A91">
              <w:t xml:space="preserve">Seminer ve Tez </w:t>
            </w:r>
            <w:r>
              <w:t>S</w:t>
            </w:r>
            <w:r w:rsidR="00780108" w:rsidRPr="004D3A91">
              <w:t>avunması</w:t>
            </w:r>
            <w:r w:rsidR="00AB1F6A" w:rsidRPr="004D3A91">
              <w:t xml:space="preserve"> sunumlarının akademik takvimde yer alan tarih aralığında bir program dahilinde</w:t>
            </w:r>
            <w:r w:rsidR="00780108" w:rsidRPr="004D3A91">
              <w:t xml:space="preserve"> </w:t>
            </w:r>
            <w:r w:rsidR="00AB1F6A" w:rsidRPr="004D3A91">
              <w:t>Seminer Sunumu Takvim ve Tez Savunma Sunumu T</w:t>
            </w:r>
            <w:r w:rsidR="00780108" w:rsidRPr="004D3A91">
              <w:t>akvim</w:t>
            </w:r>
            <w:r w:rsidR="00AB1F6A" w:rsidRPr="004D3A91">
              <w:t xml:space="preserve">i oluşturularak </w:t>
            </w:r>
            <w:r>
              <w:t>E</w:t>
            </w:r>
            <w:r w:rsidR="00AB1F6A" w:rsidRPr="004D3A91">
              <w:t xml:space="preserve">nstitü </w:t>
            </w:r>
            <w:r>
              <w:t>W</w:t>
            </w:r>
            <w:r w:rsidR="00AB1F6A" w:rsidRPr="004D3A91">
              <w:t>eb sitesi, kurum mailleri ve duyuru panoları ile duyurulması</w:t>
            </w:r>
            <w:r w:rsidR="00D95B33" w:rsidRPr="004D3A91">
              <w:t>,</w:t>
            </w:r>
          </w:p>
          <w:p w14:paraId="1035D71A" w14:textId="123C5B28" w:rsidR="00780108" w:rsidRPr="004D3A91" w:rsidRDefault="00AB1F6A" w:rsidP="003159A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18"/>
            </w:pPr>
            <w:r w:rsidRPr="004D3A91">
              <w:t>Enstitü bünyesinde</w:t>
            </w:r>
            <w:r w:rsidR="00D95B33" w:rsidRPr="004D3A91">
              <w:t xml:space="preserve"> öğretim elemanları ve öğrencilerin yürütücülüğünü yaptığı veya görev aldığı </w:t>
            </w:r>
            <w:r w:rsidR="006E2C6F">
              <w:t>U</w:t>
            </w:r>
            <w:r w:rsidR="00780108" w:rsidRPr="004D3A91">
              <w:t xml:space="preserve">lusal ve </w:t>
            </w:r>
            <w:r w:rsidR="006E2C6F">
              <w:t>U</w:t>
            </w:r>
            <w:r w:rsidR="00780108" w:rsidRPr="004D3A91">
              <w:t xml:space="preserve">luslararası projelerin </w:t>
            </w:r>
            <w:r w:rsidR="006E2C6F">
              <w:t>E</w:t>
            </w:r>
            <w:r w:rsidR="00D95B33" w:rsidRPr="004D3A91">
              <w:t xml:space="preserve">nstitü </w:t>
            </w:r>
            <w:r w:rsidR="006E2C6F">
              <w:t>Web</w:t>
            </w:r>
            <w:r w:rsidR="00780108" w:rsidRPr="004D3A91">
              <w:t xml:space="preserve"> sitesinde yayınlanması</w:t>
            </w:r>
            <w:r w:rsidR="00D95B33" w:rsidRPr="004D3A91">
              <w:t>,</w:t>
            </w:r>
          </w:p>
          <w:p w14:paraId="1A3856A2" w14:textId="5BFAA4D0" w:rsidR="00780108" w:rsidRPr="004D3A91" w:rsidRDefault="004D3A91" w:rsidP="003159A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318"/>
            </w:pPr>
            <w:r w:rsidRPr="004D3A91">
              <w:t>Yıllık</w:t>
            </w:r>
            <w:r w:rsidR="00780108" w:rsidRPr="004D3A91">
              <w:t xml:space="preserve"> </w:t>
            </w:r>
            <w:r w:rsidR="00D95B33" w:rsidRPr="004D3A91">
              <w:t>hazırlanan</w:t>
            </w:r>
            <w:r w:rsidR="00780108" w:rsidRPr="004D3A91">
              <w:t xml:space="preserve"> B</w:t>
            </w:r>
            <w:r w:rsidR="00D95B33" w:rsidRPr="004D3A91">
              <w:t>ÖDR</w:t>
            </w:r>
            <w:r w:rsidR="00780108" w:rsidRPr="004D3A91">
              <w:t xml:space="preserve"> raporlarının </w:t>
            </w:r>
            <w:r w:rsidR="006E2C6F">
              <w:t>E</w:t>
            </w:r>
            <w:r w:rsidR="00780108" w:rsidRPr="004D3A91">
              <w:t>nstitü bünyesinde görev alan akademik personele</w:t>
            </w:r>
            <w:r w:rsidR="00D95B33" w:rsidRPr="004D3A91">
              <w:t xml:space="preserve"> mail yolu ile</w:t>
            </w:r>
            <w:r w:rsidR="00780108" w:rsidRPr="004D3A91">
              <w:t xml:space="preserve"> iletilmesi</w:t>
            </w:r>
            <w:r w:rsidR="00D95B33" w:rsidRPr="004D3A91">
              <w:t xml:space="preserve">, </w:t>
            </w:r>
          </w:p>
          <w:p w14:paraId="730B2525" w14:textId="6FE2E90D" w:rsidR="004D3A91" w:rsidRPr="004D3A91" w:rsidRDefault="00D95B33" w:rsidP="003159A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4D3A91">
              <w:t xml:space="preserve">Bu faaliyetlerin Enstitü Müdürlüğü bilgisi dâhilinde Enstitü Kalite Komisyonu </w:t>
            </w:r>
            <w:r w:rsidR="006E2C6F">
              <w:t>K</w:t>
            </w:r>
            <w:r w:rsidRPr="004D3A91">
              <w:t>oordinatörlüğünce yürütülmesine karar verilmiştir.</w:t>
            </w: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0A268D" w:rsidRPr="0045181E" w14:paraId="7B890C62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74C9C49F" w14:textId="761C947F" w:rsidR="000A268D" w:rsidRPr="0045181E" w:rsidRDefault="000A268D" w:rsidP="00065CF4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132318" wp14:editId="4BA5108E">
                  <wp:extent cx="5760720" cy="5760720"/>
                  <wp:effectExtent l="0" t="0" r="0" b="0"/>
                  <wp:docPr id="194010854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68D" w:rsidRPr="0045181E" w14:paraId="5B9EF78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1A9184C3" w14:textId="77777777" w:rsidR="000A268D" w:rsidRDefault="000A268D" w:rsidP="00065CF4">
            <w:pPr>
              <w:jc w:val="center"/>
              <w:rPr>
                <w:noProof/>
              </w:rPr>
            </w:pPr>
          </w:p>
        </w:tc>
      </w:tr>
      <w:tr w:rsidR="000A268D" w:rsidRPr="0045181E" w14:paraId="599D7595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78B52D72" w14:textId="2E468513" w:rsidR="000A268D" w:rsidRDefault="000A268D" w:rsidP="00065C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B1B416" wp14:editId="54A7FD16">
                  <wp:extent cx="5760720" cy="5760720"/>
                  <wp:effectExtent l="0" t="0" r="0" b="0"/>
                  <wp:docPr id="128209632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8BA5A" w14:textId="77777777" w:rsidR="008F6696" w:rsidRPr="008F6696" w:rsidRDefault="008F6696" w:rsidP="008F6696"/>
    <w:p w14:paraId="6DF9B16E" w14:textId="088E839F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DD498" w14:textId="77777777" w:rsidR="009706D7" w:rsidRDefault="009706D7" w:rsidP="004974B7">
      <w:r>
        <w:separator/>
      </w:r>
    </w:p>
  </w:endnote>
  <w:endnote w:type="continuationSeparator" w:id="0">
    <w:p w14:paraId="29B9DAC0" w14:textId="77777777" w:rsidR="009706D7" w:rsidRDefault="009706D7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76D77D02" w14:textId="50E4A51A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C76">
          <w:rPr>
            <w:noProof/>
          </w:rPr>
          <w:t>4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A735" w14:textId="77777777" w:rsidR="009706D7" w:rsidRDefault="009706D7" w:rsidP="004974B7">
      <w:r>
        <w:separator/>
      </w:r>
    </w:p>
  </w:footnote>
  <w:footnote w:type="continuationSeparator" w:id="0">
    <w:p w14:paraId="4921ABE2" w14:textId="77777777" w:rsidR="009706D7" w:rsidRDefault="009706D7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3"/>
      <w:gridCol w:w="1959"/>
      <w:gridCol w:w="1634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3CB31624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2024-0</w:t>
          </w:r>
          <w:r w:rsidR="002C165D">
            <w:rPr>
              <w:b/>
            </w:rPr>
            <w:t>2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15A327D1" w:rsidR="005642FB" w:rsidRPr="004272E5" w:rsidRDefault="002C165D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06.03</w:t>
          </w:r>
          <w:r w:rsidR="00B1164C">
            <w:rPr>
              <w:b/>
            </w:rPr>
            <w:t>.2024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AB376A"/>
    <w:multiLevelType w:val="hybridMultilevel"/>
    <w:tmpl w:val="B9CA30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13A4"/>
    <w:rsid w:val="00067951"/>
    <w:rsid w:val="000A268D"/>
    <w:rsid w:val="000A321F"/>
    <w:rsid w:val="000D74E9"/>
    <w:rsid w:val="00106EAE"/>
    <w:rsid w:val="00142EDC"/>
    <w:rsid w:val="00171816"/>
    <w:rsid w:val="00177A5F"/>
    <w:rsid w:val="0018323A"/>
    <w:rsid w:val="0019063C"/>
    <w:rsid w:val="001C6EB5"/>
    <w:rsid w:val="0024144B"/>
    <w:rsid w:val="002860B5"/>
    <w:rsid w:val="002C165D"/>
    <w:rsid w:val="00307678"/>
    <w:rsid w:val="003159AA"/>
    <w:rsid w:val="00372C47"/>
    <w:rsid w:val="003E19F7"/>
    <w:rsid w:val="003F2ABC"/>
    <w:rsid w:val="004272E5"/>
    <w:rsid w:val="004974B7"/>
    <w:rsid w:val="004D3A91"/>
    <w:rsid w:val="00545D10"/>
    <w:rsid w:val="005642FB"/>
    <w:rsid w:val="005D5F09"/>
    <w:rsid w:val="00643BFA"/>
    <w:rsid w:val="00671C6A"/>
    <w:rsid w:val="006E2C6F"/>
    <w:rsid w:val="006F0039"/>
    <w:rsid w:val="0073116E"/>
    <w:rsid w:val="00780108"/>
    <w:rsid w:val="007B4537"/>
    <w:rsid w:val="007C2FD6"/>
    <w:rsid w:val="007E341A"/>
    <w:rsid w:val="00836DFE"/>
    <w:rsid w:val="00864B0E"/>
    <w:rsid w:val="008A5658"/>
    <w:rsid w:val="008F6696"/>
    <w:rsid w:val="00901C1D"/>
    <w:rsid w:val="00925711"/>
    <w:rsid w:val="009706D7"/>
    <w:rsid w:val="00973DFA"/>
    <w:rsid w:val="009A06CF"/>
    <w:rsid w:val="009E5010"/>
    <w:rsid w:val="009E610C"/>
    <w:rsid w:val="00A11A79"/>
    <w:rsid w:val="00A360C4"/>
    <w:rsid w:val="00AB1F6A"/>
    <w:rsid w:val="00AE4702"/>
    <w:rsid w:val="00AF5E44"/>
    <w:rsid w:val="00B1164C"/>
    <w:rsid w:val="00BC2F7A"/>
    <w:rsid w:val="00CA5966"/>
    <w:rsid w:val="00D622DD"/>
    <w:rsid w:val="00D95B33"/>
    <w:rsid w:val="00DD077F"/>
    <w:rsid w:val="00E77F56"/>
    <w:rsid w:val="00EB4516"/>
    <w:rsid w:val="00EF1C76"/>
    <w:rsid w:val="00F30B17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pc41</cp:lastModifiedBy>
  <cp:revision>2</cp:revision>
  <dcterms:created xsi:type="dcterms:W3CDTF">2024-05-29T07:19:00Z</dcterms:created>
  <dcterms:modified xsi:type="dcterms:W3CDTF">2024-05-29T07:19:00Z</dcterms:modified>
</cp:coreProperties>
</file>