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ÇALIŞMA ORTAMI DEĞERLENDİRME ANKETİ RAPORU</w:t>
      </w:r>
    </w:p>
    <w:p>
      <w:r>
        <w:br/>
      </w:r>
    </w:p>
    <w:p>
      <w:pPr>
        <w:jc w:val="center"/>
      </w:pPr>
      <w:r>
        <w:t>Katılımcı Sayısı: 4</w:t>
        <w:br/>
        <w:t>Genel Ortalama: 4,75 / 5</w:t>
      </w:r>
    </w:p>
    <w:p>
      <w:r>
        <w:br w:type="page"/>
      </w:r>
    </w:p>
    <w:p>
      <w:pPr>
        <w:pStyle w:val="Heading1"/>
      </w:pPr>
      <w:r>
        <w:t>Anket Sonuç Tablosu</w:t>
      </w:r>
    </w:p>
    <w:tbl>
      <w:tblPr>
        <w:tblW w:type="auto" w:w="0"/>
        <w:tblLook w:firstColumn="1" w:firstRow="1" w:lastColumn="0" w:lastRow="0" w:noHBand="0" w:noVBand="1" w:val="04A0"/>
      </w:tblPr>
      <w:tblGrid>
        <w:gridCol w:w="2880"/>
        <w:gridCol w:w="2880"/>
        <w:gridCol w:w="2880"/>
      </w:tblGrid>
      <w:tr>
        <w:tc>
          <w:tcPr>
            <w:tcW w:type="dxa" w:w="2880"/>
          </w:tcPr>
          <w:p>
            <w:r>
              <w:t>Soru</w:t>
            </w:r>
          </w:p>
        </w:tc>
        <w:tc>
          <w:tcPr>
            <w:tcW w:type="dxa" w:w="2880"/>
          </w:tcPr>
          <w:p>
            <w:r>
              <w:t>Açıklama</w:t>
            </w:r>
          </w:p>
        </w:tc>
        <w:tc>
          <w:tcPr>
            <w:tcW w:type="dxa" w:w="2880"/>
          </w:tcPr>
          <w:p>
            <w:r>
              <w:t>Ortalama</w:t>
            </w:r>
          </w:p>
        </w:tc>
      </w:tr>
      <w:tr>
        <w:tc>
          <w:tcPr>
            <w:tcW w:type="dxa" w:w="2880"/>
          </w:tcPr>
          <w:p>
            <w:r>
              <w:t>1</w:t>
            </w:r>
          </w:p>
        </w:tc>
        <w:tc>
          <w:tcPr>
            <w:tcW w:type="dxa" w:w="2880"/>
          </w:tcPr>
          <w:p>
            <w:r>
              <w:t>Fiziksel Konfor ve Hijyen</w:t>
            </w:r>
          </w:p>
        </w:tc>
        <w:tc>
          <w:tcPr>
            <w:tcW w:type="dxa" w:w="2880"/>
          </w:tcPr>
          <w:p>
            <w:r>
              <w:t>4.75</w:t>
            </w:r>
          </w:p>
        </w:tc>
      </w:tr>
      <w:tr>
        <w:tc>
          <w:tcPr>
            <w:tcW w:type="dxa" w:w="2880"/>
          </w:tcPr>
          <w:p>
            <w:r>
              <w:t>2</w:t>
            </w:r>
          </w:p>
        </w:tc>
        <w:tc>
          <w:tcPr>
            <w:tcW w:type="dxa" w:w="2880"/>
          </w:tcPr>
          <w:p>
            <w:r>
              <w:t>Ekip İletişimi ve Sosyal Destek</w:t>
            </w:r>
          </w:p>
        </w:tc>
        <w:tc>
          <w:tcPr>
            <w:tcW w:type="dxa" w:w="2880"/>
          </w:tcPr>
          <w:p>
            <w:r>
              <w:t>4.75</w:t>
            </w:r>
          </w:p>
        </w:tc>
      </w:tr>
      <w:tr>
        <w:tc>
          <w:tcPr>
            <w:tcW w:type="dxa" w:w="2880"/>
          </w:tcPr>
          <w:p>
            <w:r>
              <w:t>3</w:t>
            </w:r>
          </w:p>
        </w:tc>
        <w:tc>
          <w:tcPr>
            <w:tcW w:type="dxa" w:w="2880"/>
          </w:tcPr>
          <w:p>
            <w:r>
              <w:t>Psikolojik Güvenlik</w:t>
            </w:r>
          </w:p>
        </w:tc>
        <w:tc>
          <w:tcPr>
            <w:tcW w:type="dxa" w:w="2880"/>
          </w:tcPr>
          <w:p>
            <w:r>
              <w:t>4.75</w:t>
            </w:r>
          </w:p>
        </w:tc>
      </w:tr>
      <w:tr>
        <w:tc>
          <w:tcPr>
            <w:tcW w:type="dxa" w:w="2880"/>
          </w:tcPr>
          <w:p>
            <w:r>
              <w:t>4</w:t>
            </w:r>
          </w:p>
        </w:tc>
        <w:tc>
          <w:tcPr>
            <w:tcW w:type="dxa" w:w="2880"/>
          </w:tcPr>
          <w:p>
            <w:r>
              <w:t>İş-Özel Hayat Dengesi</w:t>
            </w:r>
          </w:p>
        </w:tc>
        <w:tc>
          <w:tcPr>
            <w:tcW w:type="dxa" w:w="2880"/>
          </w:tcPr>
          <w:p>
            <w:r>
              <w:t>4.5</w:t>
            </w:r>
          </w:p>
        </w:tc>
      </w:tr>
      <w:tr>
        <w:tc>
          <w:tcPr>
            <w:tcW w:type="dxa" w:w="2880"/>
          </w:tcPr>
          <w:p>
            <w:r>
              <w:t>5</w:t>
            </w:r>
          </w:p>
        </w:tc>
        <w:tc>
          <w:tcPr>
            <w:tcW w:type="dxa" w:w="2880"/>
          </w:tcPr>
          <w:p>
            <w:r>
              <w:t>Genel Memnuniyet</w:t>
            </w:r>
          </w:p>
        </w:tc>
        <w:tc>
          <w:tcPr>
            <w:tcW w:type="dxa" w:w="2880"/>
          </w:tcPr>
          <w:p>
            <w:r>
              <w:t>5.0</w:t>
            </w:r>
          </w:p>
        </w:tc>
      </w:tr>
    </w:tbl>
    <w:p>
      <w:r>
        <w:br/>
      </w:r>
    </w:p>
    <w:p>
      <w:pPr>
        <w:pStyle w:val="Heading1"/>
      </w:pPr>
      <w:r>
        <w:t>Grafik</w:t>
      </w:r>
    </w:p>
    <w:p>
      <w:r>
        <w:drawing>
          <wp:inline xmlns:a="http://schemas.openxmlformats.org/drawingml/2006/main" xmlns:pic="http://schemas.openxmlformats.org/drawingml/2006/picture">
            <wp:extent cx="5486400" cy="4114800"/>
            <wp:docPr id="1" name="Picture 1"/>
            <wp:cNvGraphicFramePr>
              <a:graphicFrameLocks noChangeAspect="1"/>
            </wp:cNvGraphicFramePr>
            <a:graphic>
              <a:graphicData uri="http://schemas.openxmlformats.org/drawingml/2006/picture">
                <pic:pic>
                  <pic:nvPicPr>
                    <pic:cNvPr id="0" name="anket_grafik.png"/>
                    <pic:cNvPicPr/>
                  </pic:nvPicPr>
                  <pic:blipFill>
                    <a:blip r:embed="rId9"/>
                    <a:stretch>
                      <a:fillRect/>
                    </a:stretch>
                  </pic:blipFill>
                  <pic:spPr>
                    <a:xfrm>
                      <a:off x="0" y="0"/>
                      <a:ext cx="5486400" cy="4114800"/>
                    </a:xfrm>
                    <a:prstGeom prst="rect"/>
                  </pic:spPr>
                </pic:pic>
              </a:graphicData>
            </a:graphic>
          </wp:inline>
        </w:drawing>
      </w:r>
    </w:p>
    <w:p>
      <w:r>
        <w:br w:type="page"/>
      </w:r>
    </w:p>
    <w:p>
      <w:pPr>
        <w:pStyle w:val="Heading1"/>
      </w:pPr>
      <w:r>
        <w:t>Genel Değerlendirme</w:t>
      </w:r>
    </w:p>
    <w:p>
      <w:r>
        <w:t>Anket sonuçlarına göre çalışma ortamı genel olarak çok yüksek memnuniyet düzeyine sahiptir. En yüksek skor genel memnuniyet alanında elde edilmiştir (5,00). Tüm başlıklarda yüksek puanlar alınmış olup, en düşük ortalama iş-özel hayat dengesi alanındadır (4,50). Bu alan için iyileştirme çalışmaları önerilebilir.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