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Ind w:w="-15" w:type="dxa"/>
        <w:tblLook w:val="04A0" w:firstRow="1" w:lastRow="0" w:firstColumn="1" w:lastColumn="0" w:noHBand="0" w:noVBand="1"/>
      </w:tblPr>
      <w:tblGrid>
        <w:gridCol w:w="2621"/>
        <w:gridCol w:w="4061"/>
        <w:gridCol w:w="3083"/>
      </w:tblGrid>
      <w:tr w:rsidR="00EC561F" w:rsidRPr="004248FD" w:rsidTr="000B1A7B">
        <w:tc>
          <w:tcPr>
            <w:tcW w:w="2694" w:type="dxa"/>
            <w:vAlign w:val="center"/>
          </w:tcPr>
          <w:p w:rsidR="00611B66" w:rsidRPr="004248FD" w:rsidRDefault="00135034" w:rsidP="000B1A7B">
            <w:pPr>
              <w:ind w:hanging="1"/>
              <w:jc w:val="center"/>
              <w:rPr>
                <w:rFonts w:ascii="Arial" w:hAnsi="Arial" w:cs="Arial"/>
              </w:rPr>
            </w:pPr>
            <w:r>
              <w:rPr>
                <w:noProof/>
              </w:rPr>
              <w:drawing>
                <wp:inline distT="0" distB="0" distL="0" distR="0" wp14:anchorId="70529A8A" wp14:editId="2BFF9625">
                  <wp:extent cx="643810" cy="720000"/>
                  <wp:effectExtent l="0" t="0" r="444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stane Logo.png"/>
                          <pic:cNvPicPr/>
                        </pic:nvPicPr>
                        <pic:blipFill>
                          <a:blip r:embed="rId5">
                            <a:extLst>
                              <a:ext uri="{28A0092B-C50C-407E-A947-70E740481C1C}">
                                <a14:useLocalDpi xmlns:a14="http://schemas.microsoft.com/office/drawing/2010/main" val="0"/>
                              </a:ext>
                            </a:extLst>
                          </a:blip>
                          <a:stretch>
                            <a:fillRect/>
                          </a:stretch>
                        </pic:blipFill>
                        <pic:spPr>
                          <a:xfrm>
                            <a:off x="0" y="0"/>
                            <a:ext cx="643810" cy="720000"/>
                          </a:xfrm>
                          <a:prstGeom prst="rect">
                            <a:avLst/>
                          </a:prstGeom>
                        </pic:spPr>
                      </pic:pic>
                    </a:graphicData>
                  </a:graphic>
                </wp:inline>
              </w:drawing>
            </w:r>
          </w:p>
        </w:tc>
        <w:tc>
          <w:tcPr>
            <w:tcW w:w="4252" w:type="dxa"/>
            <w:vAlign w:val="center"/>
          </w:tcPr>
          <w:p w:rsidR="00611B66" w:rsidRPr="004248FD" w:rsidRDefault="00A544DA" w:rsidP="000B1A7B">
            <w:pPr>
              <w:ind w:hanging="1"/>
              <w:jc w:val="center"/>
              <w:rPr>
                <w:rFonts w:ascii="Arial" w:hAnsi="Arial" w:cs="Arial"/>
                <w:b/>
              </w:rPr>
            </w:pPr>
            <w:r>
              <w:rPr>
                <w:rFonts w:ascii="Arial" w:hAnsi="Arial" w:cs="Arial"/>
                <w:b/>
                <w:color w:val="1F3864"/>
              </w:rPr>
              <w:t>ENDOSKOPİ CİHAZININ CİDEX OPA İLE TEMİZLİK VE DEZENFEKSİYON TALİMATI</w:t>
            </w:r>
          </w:p>
        </w:tc>
        <w:tc>
          <w:tcPr>
            <w:tcW w:w="3260" w:type="dxa"/>
            <w:vAlign w:val="center"/>
          </w:tcPr>
          <w:p w:rsidR="00611B66" w:rsidRPr="004248FD" w:rsidRDefault="00611B66" w:rsidP="000B1A7B">
            <w:pPr>
              <w:ind w:hanging="1"/>
              <w:jc w:val="center"/>
              <w:rPr>
                <w:rFonts w:ascii="Arial" w:hAnsi="Arial" w:cs="Arial"/>
                <w:b/>
                <w:color w:val="1F3864" w:themeColor="accent1" w:themeShade="80"/>
              </w:rPr>
            </w:pPr>
          </w:p>
        </w:tc>
      </w:tr>
      <w:tr w:rsidR="00EC561F" w:rsidRPr="004248FD" w:rsidTr="000B1A7B">
        <w:tc>
          <w:tcPr>
            <w:tcW w:w="2694" w:type="dxa"/>
          </w:tcPr>
          <w:p w:rsidR="00611B66" w:rsidRPr="004248FD" w:rsidRDefault="00611B66" w:rsidP="000B1A7B">
            <w:pPr>
              <w:ind w:hanging="1"/>
              <w:rPr>
                <w:rFonts w:ascii="Arial" w:hAnsi="Arial" w:cs="Arial"/>
                <w:sz w:val="20"/>
                <w:szCs w:val="20"/>
              </w:rPr>
            </w:pPr>
            <w:r>
              <w:rPr>
                <w:rFonts w:ascii="Arial" w:hAnsi="Arial" w:cs="Arial"/>
                <w:sz w:val="20"/>
              </w:rPr>
              <w:t>YAYIN TARİHİ:08.09.202</w:t>
            </w:r>
            <w:r w:rsidR="00CF7B63">
              <w:rPr>
                <w:rFonts w:ascii="Arial" w:hAnsi="Arial" w:cs="Arial"/>
                <w:sz w:val="20"/>
              </w:rPr>
              <w:t>4</w:t>
            </w:r>
          </w:p>
        </w:tc>
        <w:tc>
          <w:tcPr>
            <w:tcW w:w="4252" w:type="dxa"/>
          </w:tcPr>
          <w:p w:rsidR="00611B66" w:rsidRPr="004248FD" w:rsidRDefault="00611B66" w:rsidP="000B1A7B">
            <w:pPr>
              <w:ind w:hanging="1"/>
              <w:rPr>
                <w:rFonts w:ascii="Arial" w:hAnsi="Arial" w:cs="Arial"/>
                <w:sz w:val="20"/>
                <w:szCs w:val="20"/>
              </w:rPr>
            </w:pPr>
            <w:r>
              <w:rPr>
                <w:rFonts w:ascii="Arial" w:hAnsi="Arial" w:cs="Arial"/>
                <w:sz w:val="18"/>
              </w:rPr>
              <w:t xml:space="preserve">GÜNCELLEME TARİHİ: </w:t>
            </w:r>
            <w:r w:rsidR="00CF7B63">
              <w:rPr>
                <w:rFonts w:ascii="Arial" w:hAnsi="Arial" w:cs="Arial"/>
                <w:sz w:val="18"/>
                <w:szCs w:val="20"/>
              </w:rPr>
              <w:t>24.07.2026</w:t>
            </w:r>
            <w:bookmarkStart w:id="0" w:name="_GoBack"/>
            <w:bookmarkEnd w:id="0"/>
          </w:p>
        </w:tc>
        <w:tc>
          <w:tcPr>
            <w:tcW w:w="3260" w:type="dxa"/>
          </w:tcPr>
          <w:p w:rsidR="00611B66" w:rsidRPr="004248FD" w:rsidRDefault="009A00B2" w:rsidP="000B1A7B">
            <w:pPr>
              <w:ind w:hanging="1"/>
              <w:rPr>
                <w:rFonts w:ascii="Arial" w:hAnsi="Arial" w:cs="Arial"/>
                <w:sz w:val="20"/>
                <w:szCs w:val="20"/>
              </w:rPr>
            </w:pPr>
            <w:r>
              <w:rPr>
                <w:rFonts w:ascii="Arial" w:hAnsi="Arial" w:cs="Arial"/>
                <w:sz w:val="20"/>
              </w:rPr>
              <w:t>BELGE NO: MAKÜ.HH.49</w:t>
            </w:r>
          </w:p>
        </w:tc>
      </w:tr>
    </w:tbl>
    <w:p w:rsidR="00737ACD" w:rsidRPr="004248FD" w:rsidRDefault="00737ACD" w:rsidP="000B1A7B">
      <w:pPr>
        <w:ind w:hanging="1"/>
        <w:rPr>
          <w:rFonts w:ascii="Arial" w:hAnsi="Arial" w:cs="Arial"/>
        </w:rPr>
      </w:pPr>
    </w:p>
    <w:tbl>
      <w:tblPr>
        <w:tblStyle w:val="TabloKlavuzu"/>
        <w:tblW w:w="0" w:type="auto"/>
        <w:tblLook w:val="04A0" w:firstRow="1" w:lastRow="0" w:firstColumn="1" w:lastColumn="0" w:noHBand="0" w:noVBand="1"/>
      </w:tblPr>
      <w:tblGrid>
        <w:gridCol w:w="9750"/>
      </w:tblGrid>
      <w:tr w:rsidR="00611B66" w:rsidRPr="004248FD" w:rsidTr="000B1A7B">
        <w:tc>
          <w:tcPr>
            <w:tcW w:w="10191" w:type="dxa"/>
          </w:tcPr>
          <w:p w:rsidR="00E335FE" w:rsidRDefault="00CF7B63">
            <w:pPr>
              <w:spacing w:line="264" w:lineRule="auto"/>
              <w:jc w:val="both"/>
            </w:pPr>
            <w:r>
              <w:rPr>
                <w:rFonts w:ascii="Arial" w:hAnsi="Arial" w:cs="Arial"/>
                <w:b/>
                <w:sz w:val="22"/>
              </w:rPr>
              <w:t xml:space="preserve">1. Amaç: </w:t>
            </w:r>
            <w:r>
              <w:rPr>
                <w:rFonts w:ascii="Arial" w:hAnsi="Arial" w:cs="Arial"/>
                <w:sz w:val="22"/>
              </w:rPr>
              <w:t>Endoskopi cihazının her kullanım sonrasında Cidex OPA ile doğru şekilde temizlenmesi, dezenfekte edilmesi</w:t>
            </w:r>
            <w:r>
              <w:rPr>
                <w:rFonts w:ascii="Arial" w:hAnsi="Arial" w:cs="Arial"/>
                <w:sz w:val="22"/>
              </w:rPr>
              <w:t xml:space="preserve"> ve güvenli bir şekilde kullanıma hazır hâle getirilmesi.</w:t>
            </w:r>
          </w:p>
          <w:p w:rsidR="00E335FE" w:rsidRDefault="00CF7B63">
            <w:pPr>
              <w:spacing w:line="264" w:lineRule="auto"/>
              <w:jc w:val="both"/>
            </w:pPr>
            <w:r>
              <w:rPr>
                <w:rFonts w:ascii="Arial" w:hAnsi="Arial" w:cs="Arial"/>
                <w:b/>
                <w:sz w:val="22"/>
              </w:rPr>
              <w:t xml:space="preserve">2. Kapsam ve Sorumlular: </w:t>
            </w:r>
            <w:r>
              <w:rPr>
                <w:rFonts w:ascii="Arial" w:hAnsi="Arial" w:cs="Arial"/>
                <w:sz w:val="22"/>
              </w:rPr>
              <w:t>Endoskopi cihazını kullanan ve cihazın temizliğinden sorumlu veteriner hekimler ile diğer kullanıcıları kapsar.</w:t>
            </w:r>
          </w:p>
          <w:p w:rsidR="00E335FE" w:rsidRDefault="00CF7B63">
            <w:pPr>
              <w:spacing w:line="264" w:lineRule="auto"/>
              <w:jc w:val="both"/>
            </w:pPr>
            <w:r>
              <w:rPr>
                <w:rFonts w:ascii="Arial" w:hAnsi="Arial" w:cs="Arial"/>
                <w:b/>
                <w:sz w:val="22"/>
              </w:rPr>
              <w:t xml:space="preserve">3. Kişisel Koruyucu Ekipman (KKE): </w:t>
            </w:r>
            <w:r>
              <w:rPr>
                <w:rFonts w:ascii="Arial" w:hAnsi="Arial" w:cs="Arial"/>
                <w:sz w:val="22"/>
              </w:rPr>
              <w:t xml:space="preserve">İşlem sırasında koruyucu </w:t>
            </w:r>
            <w:r>
              <w:rPr>
                <w:rFonts w:ascii="Arial" w:hAnsi="Arial" w:cs="Arial"/>
                <w:sz w:val="22"/>
              </w:rPr>
              <w:t>önlük, eldiven ve koruyucu gözlük kullanılmalıdır.</w:t>
            </w:r>
          </w:p>
          <w:p w:rsidR="00E335FE" w:rsidRDefault="00CF7B63">
            <w:pPr>
              <w:spacing w:line="264" w:lineRule="auto"/>
              <w:jc w:val="both"/>
            </w:pPr>
            <w:r>
              <w:rPr>
                <w:rFonts w:ascii="Arial" w:hAnsi="Arial" w:cs="Arial"/>
                <w:b/>
                <w:sz w:val="22"/>
              </w:rPr>
              <w:t>4. Cidex OPA ile Temizlik ve Dezenfeksiyon Süreci</w:t>
            </w:r>
          </w:p>
          <w:p w:rsidR="00E335FE" w:rsidRDefault="00CF7B63">
            <w:pPr>
              <w:spacing w:line="264" w:lineRule="auto"/>
              <w:jc w:val="both"/>
            </w:pPr>
            <w:r>
              <w:rPr>
                <w:rFonts w:ascii="Arial" w:hAnsi="Arial" w:cs="Arial"/>
                <w:b/>
                <w:sz w:val="22"/>
              </w:rPr>
              <w:t xml:space="preserve">- 4.1. Kullanım Sonrası Ön Temizlik: </w:t>
            </w:r>
            <w:r>
              <w:rPr>
                <w:rFonts w:ascii="Arial" w:hAnsi="Arial" w:cs="Arial"/>
                <w:sz w:val="22"/>
              </w:rPr>
              <w:t>İşlem biter bitmez endoskopun dış yüzeyi temiz bir gazlı bezle silinir. Kanallardaki kaba kirlilikler su ve enjektör y</w:t>
            </w:r>
            <w:r>
              <w:rPr>
                <w:rFonts w:ascii="Arial" w:hAnsi="Arial" w:cs="Arial"/>
                <w:sz w:val="22"/>
              </w:rPr>
              <w:t>ardımıyla çekilip püskürtülerek kurumadan uzaklaştırılır.</w:t>
            </w:r>
          </w:p>
          <w:p w:rsidR="00E335FE" w:rsidRDefault="00CF7B63">
            <w:pPr>
              <w:spacing w:line="264" w:lineRule="auto"/>
              <w:jc w:val="both"/>
            </w:pPr>
            <w:r>
              <w:rPr>
                <w:rFonts w:ascii="Arial" w:hAnsi="Arial" w:cs="Arial"/>
                <w:b/>
                <w:sz w:val="22"/>
              </w:rPr>
              <w:t xml:space="preserve">- 4.2. Kaçak Testi (Leak Test): </w:t>
            </w:r>
            <w:r>
              <w:rPr>
                <w:rFonts w:ascii="Arial" w:hAnsi="Arial" w:cs="Arial"/>
                <w:sz w:val="22"/>
              </w:rPr>
              <w:t xml:space="preserve">Cihaz dezenfektan sıvısına yatırılmadan önce kaçak testine tabi tutulur. Kaçak tespiti durumunda cihaz </w:t>
            </w:r>
            <w:r>
              <w:rPr>
                <w:rFonts w:ascii="Arial" w:hAnsi="Arial" w:cs="Arial"/>
                <w:sz w:val="22"/>
                <w:u w:val="single"/>
              </w:rPr>
              <w:t>kesinlikle sıvıya daldırılmaz</w:t>
            </w:r>
            <w:r>
              <w:rPr>
                <w:rFonts w:ascii="Arial" w:hAnsi="Arial" w:cs="Arial"/>
                <w:sz w:val="22"/>
              </w:rPr>
              <w:t xml:space="preserve"> ve teknik servise bildirilir.</w:t>
            </w:r>
          </w:p>
          <w:p w:rsidR="00E335FE" w:rsidRDefault="00CF7B63">
            <w:pPr>
              <w:spacing w:line="264" w:lineRule="auto"/>
              <w:jc w:val="both"/>
            </w:pPr>
            <w:r>
              <w:rPr>
                <w:rFonts w:ascii="Arial" w:hAnsi="Arial" w:cs="Arial"/>
                <w:b/>
                <w:sz w:val="22"/>
              </w:rPr>
              <w:t xml:space="preserve">- 4.3. Manuel Temizlik ve Yıkama: </w:t>
            </w:r>
            <w:r>
              <w:rPr>
                <w:rFonts w:ascii="Arial" w:hAnsi="Arial" w:cs="Arial"/>
                <w:sz w:val="22"/>
              </w:rPr>
              <w:t>Cihaz ve sökülebilir parçaları enzimatik deterjanlı suda yıkanır, kanallar fırçalanır ve ardından deterjan artıklarından tamamen arındırılmak üzere durulanır.</w:t>
            </w:r>
          </w:p>
          <w:p w:rsidR="00E335FE" w:rsidRDefault="00CF7B63">
            <w:pPr>
              <w:spacing w:line="264" w:lineRule="auto"/>
              <w:jc w:val="both"/>
            </w:pPr>
            <w:r>
              <w:rPr>
                <w:rFonts w:ascii="Arial" w:hAnsi="Arial" w:cs="Arial"/>
                <w:b/>
                <w:sz w:val="22"/>
              </w:rPr>
              <w:t xml:space="preserve">- 4.4. Cidex OPA Solüsyonuna Yatırma (Dezenfeksiyon): </w:t>
            </w:r>
            <w:r>
              <w:rPr>
                <w:rFonts w:ascii="Arial" w:hAnsi="Arial" w:cs="Arial"/>
                <w:sz w:val="22"/>
              </w:rPr>
              <w:t>Suyu süzü</w:t>
            </w:r>
            <w:r>
              <w:rPr>
                <w:rFonts w:ascii="Arial" w:hAnsi="Arial" w:cs="Arial"/>
                <w:sz w:val="22"/>
              </w:rPr>
              <w:t>len endoskopi cihazı ve sökülebilir parçaları, Cidex OPA solüsyonu bulunan dezenfeksiyon küvetine tamamen daldırılır. Enjektör yardımıyla tüm iç kanallara Cidex OPA çekilerek solüsyonun her noktaya teması sağlanır. Solüsyon içerisinde en az 12 dakika bekle</w:t>
            </w:r>
            <w:r>
              <w:rPr>
                <w:rFonts w:ascii="Arial" w:hAnsi="Arial" w:cs="Arial"/>
                <w:sz w:val="22"/>
              </w:rPr>
              <w:t>tilir.</w:t>
            </w:r>
          </w:p>
          <w:p w:rsidR="00E335FE" w:rsidRDefault="00CF7B63">
            <w:pPr>
              <w:spacing w:line="264" w:lineRule="auto"/>
              <w:jc w:val="both"/>
            </w:pPr>
            <w:r>
              <w:rPr>
                <w:rFonts w:ascii="Arial" w:hAnsi="Arial" w:cs="Arial"/>
                <w:b/>
                <w:sz w:val="22"/>
              </w:rPr>
              <w:t xml:space="preserve">- 4.5. Son Durulama ve Kurulama: </w:t>
            </w:r>
            <w:r>
              <w:rPr>
                <w:rFonts w:ascii="Arial" w:hAnsi="Arial" w:cs="Arial"/>
                <w:sz w:val="22"/>
              </w:rPr>
              <w:t>Cidex OPA’dan çıkarılan cihaz, kimyasal kalıntı bırakmamak için bol distile su ile durulanır. Dış yüzeyi temiz bezle silinir, iç kanalları ise basınçlı hava ile tamamen kurutulur.</w:t>
            </w:r>
          </w:p>
          <w:p w:rsidR="00E335FE" w:rsidRDefault="00CF7B63">
            <w:pPr>
              <w:spacing w:line="264" w:lineRule="auto"/>
              <w:jc w:val="both"/>
            </w:pPr>
            <w:r>
              <w:rPr>
                <w:rFonts w:ascii="Arial" w:hAnsi="Arial" w:cs="Arial"/>
                <w:b/>
                <w:sz w:val="22"/>
              </w:rPr>
              <w:t xml:space="preserve">- 4.6. Saklama: </w:t>
            </w:r>
            <w:r>
              <w:rPr>
                <w:rFonts w:ascii="Arial" w:hAnsi="Arial" w:cs="Arial"/>
                <w:sz w:val="22"/>
              </w:rPr>
              <w:t>Temizlenen cihaz dik</w:t>
            </w:r>
            <w:r>
              <w:rPr>
                <w:rFonts w:ascii="Arial" w:hAnsi="Arial" w:cs="Arial"/>
                <w:sz w:val="22"/>
              </w:rPr>
              <w:t>ey pozisyonda, uç kısmı yere temas etmeyecek şekilde endoskop dolabında muhafaza edilir.</w:t>
            </w:r>
          </w:p>
          <w:p w:rsidR="00E335FE" w:rsidRDefault="00CF7B63">
            <w:pPr>
              <w:spacing w:line="264" w:lineRule="auto"/>
              <w:jc w:val="both"/>
            </w:pPr>
            <w:r>
              <w:rPr>
                <w:rFonts w:ascii="Arial" w:hAnsi="Arial" w:cs="Arial"/>
                <w:b/>
                <w:sz w:val="22"/>
              </w:rPr>
              <w:t>5. Cidex OPA Solüsyonu Kullanımında Dikkat Edilecek Hususlar</w:t>
            </w:r>
          </w:p>
          <w:p w:rsidR="00E335FE" w:rsidRDefault="00CF7B63">
            <w:pPr>
              <w:spacing w:line="264" w:lineRule="auto"/>
              <w:jc w:val="both"/>
            </w:pPr>
            <w:r>
              <w:rPr>
                <w:rFonts w:ascii="Arial" w:hAnsi="Arial" w:cs="Arial"/>
                <w:b/>
                <w:sz w:val="22"/>
              </w:rPr>
              <w:t xml:space="preserve">- Solüsyon Değişim Süresi: </w:t>
            </w:r>
            <w:r>
              <w:rPr>
                <w:rFonts w:ascii="Arial" w:hAnsi="Arial" w:cs="Arial"/>
                <w:sz w:val="22"/>
              </w:rPr>
              <w:t xml:space="preserve">Dezenfeksiyon küvetindeki Cidex OPA solüsyonu 14 günde bir (14 günlük kullanım </w:t>
            </w:r>
            <w:r>
              <w:rPr>
                <w:rFonts w:ascii="Arial" w:hAnsi="Arial" w:cs="Arial"/>
                <w:sz w:val="22"/>
              </w:rPr>
              <w:t>ömrü sonunda) yenisiyle değiştirilir. Ancak fiziksel kirlenme veya bulanıklık görülürse 14 gün beklenmeden derhal değiştirilmelidir.</w:t>
            </w:r>
          </w:p>
          <w:p w:rsidR="00E335FE" w:rsidRDefault="00CF7B63">
            <w:pPr>
              <w:spacing w:line="264" w:lineRule="auto"/>
              <w:jc w:val="both"/>
            </w:pPr>
            <w:r>
              <w:rPr>
                <w:rFonts w:ascii="Arial" w:hAnsi="Arial" w:cs="Arial"/>
                <w:b/>
                <w:sz w:val="22"/>
              </w:rPr>
              <w:t xml:space="preserve">- Temas ve Havalandırma: </w:t>
            </w:r>
            <w:r>
              <w:rPr>
                <w:rFonts w:ascii="Arial" w:hAnsi="Arial" w:cs="Arial"/>
                <w:sz w:val="22"/>
              </w:rPr>
              <w:t>Cidex OPA ciltte ve gözde tahriş yapabileceğinden temas engellenmeli; işlemler, havalandırmalı ort</w:t>
            </w:r>
            <w:r>
              <w:rPr>
                <w:rFonts w:ascii="Arial" w:hAnsi="Arial" w:cs="Arial"/>
                <w:sz w:val="22"/>
              </w:rPr>
              <w:t>amda ve küvet kapağı kapalı tutularak yapılmalıdır.</w:t>
            </w:r>
          </w:p>
          <w:p w:rsidR="00E335FE" w:rsidRDefault="00CF7B63">
            <w:pPr>
              <w:spacing w:line="264" w:lineRule="auto"/>
              <w:jc w:val="both"/>
            </w:pPr>
            <w:r>
              <w:rPr>
                <w:rFonts w:ascii="Arial" w:hAnsi="Arial" w:cs="Arial"/>
                <w:b/>
                <w:sz w:val="22"/>
              </w:rPr>
              <w:t xml:space="preserve">- Yıkama Kalıntısı: </w:t>
            </w:r>
            <w:r>
              <w:rPr>
                <w:rFonts w:ascii="Arial" w:hAnsi="Arial" w:cs="Arial"/>
                <w:sz w:val="22"/>
              </w:rPr>
              <w:t>Cihaz Cidex OPA solüsyonuna yatırılmadan önce üzerinde deterjan kalıntısı kalmayacak şekilde iyice durulanmış olmalıdır.</w:t>
            </w:r>
          </w:p>
          <w:p w:rsidR="00E335FE" w:rsidRDefault="00CF7B63">
            <w:pPr>
              <w:spacing w:line="264" w:lineRule="auto"/>
              <w:jc w:val="both"/>
            </w:pPr>
            <w:r>
              <w:rPr>
                <w:rFonts w:ascii="Arial" w:hAnsi="Arial" w:cs="Arial"/>
                <w:b/>
                <w:sz w:val="22"/>
              </w:rPr>
              <w:t xml:space="preserve">- Atık Solüsyonun Nötralizasyonu: </w:t>
            </w:r>
            <w:r>
              <w:rPr>
                <w:rFonts w:ascii="Arial" w:hAnsi="Arial" w:cs="Arial"/>
                <w:sz w:val="22"/>
              </w:rPr>
              <w:t>14 günlük kullanım süresi dol</w:t>
            </w:r>
            <w:r>
              <w:rPr>
                <w:rFonts w:ascii="Arial" w:hAnsi="Arial" w:cs="Arial"/>
                <w:sz w:val="22"/>
              </w:rPr>
              <w:t xml:space="preserve">an veya kirlenen Cidex OPA solüsyonu, lavaboya dökülmeden önce çevreye ve tesisat güvenliğine zarar vermemesi için nötralizasyon tozu ile nötralize edilir. Kutudaki ölçeğe göre belirtilen miktardaki toz dezenfeksiyon küvetine eklenip yavaşça karıştırılır. </w:t>
            </w:r>
            <w:r>
              <w:rPr>
                <w:rFonts w:ascii="Arial" w:hAnsi="Arial" w:cs="Arial"/>
                <w:sz w:val="22"/>
              </w:rPr>
              <w:t>En az 5 dakika reaksiyon süresi beklendikten sonra atık su giderine boşaltılır.</w:t>
            </w:r>
          </w:p>
          <w:p w:rsidR="00E335FE" w:rsidRDefault="00CF7B63">
            <w:pPr>
              <w:spacing w:line="264" w:lineRule="auto"/>
              <w:jc w:val="both"/>
            </w:pPr>
            <w:r>
              <w:rPr>
                <w:rFonts w:ascii="Arial" w:hAnsi="Arial" w:cs="Arial"/>
                <w:b/>
                <w:sz w:val="22"/>
              </w:rPr>
              <w:t>6. Kayıt</w:t>
            </w:r>
          </w:p>
          <w:p w:rsidR="00E335FE" w:rsidRDefault="00CF7B63">
            <w:pPr>
              <w:spacing w:line="264" w:lineRule="auto"/>
              <w:jc w:val="both"/>
            </w:pPr>
            <w:r>
              <w:rPr>
                <w:rFonts w:ascii="Arial" w:hAnsi="Arial" w:cs="Arial"/>
                <w:sz w:val="22"/>
              </w:rPr>
              <w:t>- Yapılan temizlik ve dezenfeksiyon işlemleri kayıt altına alınır.</w:t>
            </w:r>
          </w:p>
        </w:tc>
      </w:tr>
    </w:tbl>
    <w:p w:rsidR="00611B66" w:rsidRDefault="00611B66" w:rsidP="000B1A7B">
      <w:pPr>
        <w:ind w:right="-1" w:hanging="1"/>
        <w:rPr>
          <w:rFonts w:ascii="Arial" w:hAnsi="Arial" w:cs="Arial"/>
        </w:rPr>
      </w:pPr>
    </w:p>
    <w:tbl>
      <w:tblPr>
        <w:tblStyle w:val="TabloKlavuzu"/>
        <w:tblW w:w="0" w:type="auto"/>
        <w:tblLook w:val="04A0" w:firstRow="1" w:lastRow="0" w:firstColumn="1" w:lastColumn="0" w:noHBand="0" w:noVBand="1"/>
      </w:tblPr>
      <w:tblGrid>
        <w:gridCol w:w="3250"/>
        <w:gridCol w:w="3250"/>
        <w:gridCol w:w="3250"/>
      </w:tblGrid>
      <w:tr w:rsidR="000A74A7" w:rsidTr="004377FE">
        <w:tc>
          <w:tcPr>
            <w:tcW w:w="3250" w:type="dxa"/>
            <w:vAlign w:val="center"/>
          </w:tcPr>
          <w:p w:rsidR="000A74A7" w:rsidRPr="005B637C" w:rsidRDefault="000A74A7" w:rsidP="004377FE">
            <w:pPr>
              <w:jc w:val="center"/>
              <w:rPr>
                <w:rFonts w:ascii="Arial" w:hAnsi="Arial" w:cs="Arial"/>
                <w:b/>
              </w:rPr>
            </w:pPr>
            <w:r w:rsidRPr="005B637C">
              <w:rPr>
                <w:rFonts w:ascii="Arial" w:hAnsi="Arial" w:cs="Arial"/>
                <w:b/>
              </w:rPr>
              <w:t>Birim Kalite Komisyonu Başkanı</w:t>
            </w:r>
          </w:p>
        </w:tc>
        <w:tc>
          <w:tcPr>
            <w:tcW w:w="3250" w:type="dxa"/>
            <w:vAlign w:val="center"/>
          </w:tcPr>
          <w:p w:rsidR="000A74A7" w:rsidRPr="005B637C" w:rsidRDefault="000A74A7" w:rsidP="004377FE">
            <w:pPr>
              <w:ind w:hanging="1"/>
              <w:jc w:val="center"/>
              <w:rPr>
                <w:rFonts w:ascii="Arial" w:hAnsi="Arial" w:cs="Arial"/>
                <w:b/>
              </w:rPr>
            </w:pPr>
            <w:r w:rsidRPr="005B637C">
              <w:rPr>
                <w:rFonts w:ascii="Arial" w:hAnsi="Arial" w:cs="Arial"/>
                <w:b/>
              </w:rPr>
              <w:t>Klinik Bilimler Bölüm Başkanı</w:t>
            </w:r>
          </w:p>
        </w:tc>
        <w:tc>
          <w:tcPr>
            <w:tcW w:w="3250" w:type="dxa"/>
            <w:vAlign w:val="center"/>
          </w:tcPr>
          <w:p w:rsidR="000A74A7" w:rsidRPr="005B637C" w:rsidRDefault="000A74A7" w:rsidP="004377FE">
            <w:pPr>
              <w:ind w:hanging="1"/>
              <w:jc w:val="center"/>
              <w:rPr>
                <w:rFonts w:ascii="Arial" w:hAnsi="Arial" w:cs="Arial"/>
                <w:b/>
              </w:rPr>
            </w:pPr>
            <w:r w:rsidRPr="005B637C">
              <w:rPr>
                <w:rFonts w:ascii="Arial" w:hAnsi="Arial" w:cs="Arial"/>
                <w:b/>
              </w:rPr>
              <w:t>Veteriner Fakültesi Dekanı</w:t>
            </w:r>
          </w:p>
        </w:tc>
      </w:tr>
      <w:tr w:rsidR="000A74A7" w:rsidTr="0099577A">
        <w:trPr>
          <w:trHeight w:val="1059"/>
        </w:trPr>
        <w:tc>
          <w:tcPr>
            <w:tcW w:w="3250" w:type="dxa"/>
            <w:vAlign w:val="bottom"/>
          </w:tcPr>
          <w:p w:rsidR="000A74A7" w:rsidRPr="0099577A" w:rsidRDefault="00135034" w:rsidP="0099577A">
            <w:pPr>
              <w:ind w:hanging="1"/>
              <w:jc w:val="center"/>
              <w:rPr>
                <w:rFonts w:ascii="Arial" w:hAnsi="Arial" w:cs="Arial"/>
                <w:b/>
                <w:sz w:val="20"/>
                <w:szCs w:val="20"/>
              </w:rPr>
            </w:pPr>
            <w:r>
              <w:rPr>
                <w:rFonts w:ascii="Arial" w:hAnsi="Arial" w:cs="Arial"/>
                <w:b/>
                <w:sz w:val="20"/>
                <w:szCs w:val="20"/>
              </w:rPr>
              <w:t>Prof</w:t>
            </w:r>
            <w:r w:rsidR="00766341">
              <w:rPr>
                <w:rFonts w:ascii="Arial" w:hAnsi="Arial" w:cs="Arial"/>
                <w:b/>
                <w:sz w:val="20"/>
                <w:szCs w:val="20"/>
              </w:rPr>
              <w:t>. Dr. Burcu M. BALKAN</w:t>
            </w:r>
          </w:p>
        </w:tc>
        <w:tc>
          <w:tcPr>
            <w:tcW w:w="3250" w:type="dxa"/>
            <w:vAlign w:val="bottom"/>
          </w:tcPr>
          <w:p w:rsidR="000A74A7" w:rsidRPr="0099577A" w:rsidRDefault="00766341" w:rsidP="0099577A">
            <w:pPr>
              <w:ind w:hanging="1"/>
              <w:jc w:val="center"/>
              <w:rPr>
                <w:rFonts w:ascii="Arial" w:hAnsi="Arial" w:cs="Arial"/>
                <w:b/>
                <w:sz w:val="20"/>
                <w:szCs w:val="20"/>
              </w:rPr>
            </w:pPr>
            <w:r>
              <w:rPr>
                <w:rFonts w:ascii="Arial" w:hAnsi="Arial" w:cs="Arial"/>
                <w:b/>
                <w:sz w:val="20"/>
                <w:szCs w:val="20"/>
              </w:rPr>
              <w:t>Prof. Dr. A. Reha AĞAOĞLU</w:t>
            </w:r>
          </w:p>
        </w:tc>
        <w:tc>
          <w:tcPr>
            <w:tcW w:w="3250" w:type="dxa"/>
            <w:vAlign w:val="bottom"/>
          </w:tcPr>
          <w:p w:rsidR="000A74A7" w:rsidRPr="0099577A" w:rsidRDefault="00766341" w:rsidP="0099577A">
            <w:pPr>
              <w:ind w:hanging="1"/>
              <w:jc w:val="center"/>
              <w:rPr>
                <w:rFonts w:ascii="Arial" w:hAnsi="Arial" w:cs="Arial"/>
                <w:b/>
                <w:sz w:val="20"/>
                <w:szCs w:val="20"/>
              </w:rPr>
            </w:pPr>
            <w:r>
              <w:rPr>
                <w:rFonts w:ascii="Arial" w:hAnsi="Arial" w:cs="Arial"/>
                <w:b/>
                <w:sz w:val="20"/>
                <w:szCs w:val="20"/>
              </w:rPr>
              <w:t>Prof. Dr. M. Çağrı KARAKURUM</w:t>
            </w:r>
          </w:p>
        </w:tc>
      </w:tr>
    </w:tbl>
    <w:p w:rsidR="004245C4" w:rsidRPr="004248FD" w:rsidRDefault="004245C4" w:rsidP="000B1A7B">
      <w:pPr>
        <w:rPr>
          <w:rFonts w:ascii="Arial" w:hAnsi="Arial" w:cs="Arial"/>
        </w:rPr>
      </w:pPr>
    </w:p>
    <w:sectPr w:rsidR="004245C4" w:rsidRPr="004248FD" w:rsidSect="000B1A7B">
      <w:pgSz w:w="11900" w:h="16840"/>
      <w:pgMar w:top="983" w:right="1128" w:bottom="749"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panose1 w:val="02020603050405020304"/>
    <w:charset w:val="00"/>
    <w:family w:val="roman"/>
    <w:pitch w:val="variable"/>
    <w:sig w:usb0="E0002AEF" w:usb1="C0007841"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26428"/>
    <w:multiLevelType w:val="hybridMultilevel"/>
    <w:tmpl w:val="CA28EE70"/>
    <w:lvl w:ilvl="0" w:tplc="F98E4822">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5C75C3"/>
    <w:multiLevelType w:val="hybridMultilevel"/>
    <w:tmpl w:val="D83E5072"/>
    <w:lvl w:ilvl="0" w:tplc="714E49A0">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D266FB0"/>
    <w:multiLevelType w:val="hybridMultilevel"/>
    <w:tmpl w:val="E222D5B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66"/>
    <w:rsid w:val="000A74A7"/>
    <w:rsid w:val="000B1A7B"/>
    <w:rsid w:val="00116165"/>
    <w:rsid w:val="0012645B"/>
    <w:rsid w:val="00135034"/>
    <w:rsid w:val="0016462F"/>
    <w:rsid w:val="00190700"/>
    <w:rsid w:val="001A5C26"/>
    <w:rsid w:val="001C6E2D"/>
    <w:rsid w:val="001D2DB0"/>
    <w:rsid w:val="00211197"/>
    <w:rsid w:val="0022576E"/>
    <w:rsid w:val="00424511"/>
    <w:rsid w:val="004245C4"/>
    <w:rsid w:val="004248FD"/>
    <w:rsid w:val="004A31CD"/>
    <w:rsid w:val="004D1279"/>
    <w:rsid w:val="004D5CAF"/>
    <w:rsid w:val="004F19AC"/>
    <w:rsid w:val="004F4240"/>
    <w:rsid w:val="005C6502"/>
    <w:rsid w:val="00611B66"/>
    <w:rsid w:val="0062170C"/>
    <w:rsid w:val="006C6ED9"/>
    <w:rsid w:val="007131A3"/>
    <w:rsid w:val="00737ACD"/>
    <w:rsid w:val="00753FDF"/>
    <w:rsid w:val="00766341"/>
    <w:rsid w:val="007941C4"/>
    <w:rsid w:val="007C0159"/>
    <w:rsid w:val="007D13CB"/>
    <w:rsid w:val="00875C83"/>
    <w:rsid w:val="00877600"/>
    <w:rsid w:val="00921D28"/>
    <w:rsid w:val="00931EA7"/>
    <w:rsid w:val="00985D03"/>
    <w:rsid w:val="0099577A"/>
    <w:rsid w:val="009A00B2"/>
    <w:rsid w:val="00A544DA"/>
    <w:rsid w:val="00AF2AB8"/>
    <w:rsid w:val="00B03B06"/>
    <w:rsid w:val="00B63889"/>
    <w:rsid w:val="00B70157"/>
    <w:rsid w:val="00B73DA6"/>
    <w:rsid w:val="00C53672"/>
    <w:rsid w:val="00CA61A5"/>
    <w:rsid w:val="00CD7348"/>
    <w:rsid w:val="00CF7B63"/>
    <w:rsid w:val="00D35C0E"/>
    <w:rsid w:val="00D76FB6"/>
    <w:rsid w:val="00DF7104"/>
    <w:rsid w:val="00E335FE"/>
    <w:rsid w:val="00E505A6"/>
    <w:rsid w:val="00E77752"/>
    <w:rsid w:val="00E95D1C"/>
    <w:rsid w:val="00EC561F"/>
    <w:rsid w:val="00F21570"/>
    <w:rsid w:val="00F35C05"/>
    <w:rsid w:val="00F46EF7"/>
    <w:rsid w:val="00F81718"/>
    <w:rsid w:val="00F81E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8AB"/>
  <w14:defaultImageDpi w14:val="32767"/>
  <w15:chartTrackingRefBased/>
  <w15:docId w15:val="{894220EA-D9CC-294C-AF5D-F9DC89FF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11B66"/>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paragraph" w:styleId="ListeParagraf">
    <w:name w:val="List Paragraph"/>
    <w:basedOn w:val="Normal"/>
    <w:uiPriority w:val="34"/>
    <w:qFormat/>
    <w:rsid w:val="00F81EC6"/>
    <w:pPr>
      <w:ind w:left="720"/>
      <w:contextualSpacing/>
    </w:pPr>
    <w:rPr>
      <w:rFonts w:ascii="Times" w:eastAsia="Times New Roman" w:hAnsi="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470</Words>
  <Characters>2680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Endoskopi Cihazının Cidex OPA ile Temizlik ve Dezenfeksiyon Talimatı</dc:title>
  <dc:subject>MAKÜ.HH.49</dc:subject>
  <dc:creator>hakem</dc:creator>
  <cp:keywords/>
  <dc:description/>
  <cp:lastModifiedBy>author</cp:lastModifiedBy>
  <cp:revision>2</cp:revision>
  <cp:lastPrinted>2020-02-24T06:58:00Z</cp:lastPrinted>
  <dcterms:created xsi:type="dcterms:W3CDTF">2026-09-08T09:01:00Z</dcterms:created>
  <dcterms:modified xsi:type="dcterms:W3CDTF">2026-09-08T09:01:00Z</dcterms:modified>
</cp:coreProperties>
</file>