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oKlavuzu"/>
        <w:tblW w:w="0" w:type="auto"/>
        <w:tblInd w:w="-15" w:type="dxa"/>
        <w:tblLook w:val="04A0" w:firstRow="1" w:lastRow="0" w:firstColumn="1" w:lastColumn="0" w:noHBand="0" w:noVBand="1"/>
      </w:tblPr>
      <w:tblGrid>
        <w:gridCol w:w="2694"/>
        <w:gridCol w:w="4252"/>
        <w:gridCol w:w="3260"/>
      </w:tblGrid>
      <w:tr w:rsidR="00EC561F" w:rsidRPr="004248FD" w:rsidTr="000B1A7B">
        <w:tc>
          <w:tcPr>
            <w:tcW w:w="2694" w:type="dxa"/>
            <w:vAlign w:val="center"/>
          </w:tcPr>
          <w:p w:rsidR="00611B66" w:rsidRPr="004248FD" w:rsidRDefault="00135034" w:rsidP="000B1A7B">
            <w:pPr>
              <w:ind w:hanging="1"/>
              <w:jc w:val="center"/>
              <w:rPr>
                <w:rFonts w:ascii="Arial" w:hAnsi="Arial" w:cs="Arial"/>
              </w:rPr>
            </w:pPr>
            <w:bookmarkStart w:id="0" w:name="_GoBack"/>
            <w:bookmarkEnd w:id="0"/>
            <w:r>
              <w:rPr>
                <w:rFonts w:ascii="Arial" w:eastAsia="Arial" w:hAnsi="Arial"/>
                <w:b/>
                <w:noProof/>
                <w:sz w:val="18"/>
              </w:rPr>
              <w:drawing>
                <wp:inline distT="0" distB="0" distL="0" distR="0" wp14:anchorId="70529A8A" wp14:editId="2BFF9625">
                  <wp:extent cx="643810" cy="720000"/>
                  <wp:effectExtent l="0" t="0" r="4445" b="444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stane Logo.png"/>
                          <pic:cNvPicPr/>
                        </pic:nvPicPr>
                        <pic:blipFill>
                          <a:blip r:embed="rId5">
                            <a:extLst>
                              <a:ext uri="{28A0092B-C50C-407E-A947-70E740481C1C}">
                                <a14:useLocalDpi xmlns:a14="http://schemas.microsoft.com/office/drawing/2010/main" val="0"/>
                              </a:ext>
                            </a:extLst>
                          </a:blip>
                          <a:stretch>
                            <a:fillRect/>
                          </a:stretch>
                        </pic:blipFill>
                        <pic:spPr>
                          <a:xfrm>
                            <a:off x="0" y="0"/>
                            <a:ext cx="643810" cy="720000"/>
                          </a:xfrm>
                          <a:prstGeom prst="rect">
                            <a:avLst/>
                          </a:prstGeom>
                        </pic:spPr>
                      </pic:pic>
                    </a:graphicData>
                  </a:graphic>
                </wp:inline>
              </w:drawing>
            </w:r>
          </w:p>
        </w:tc>
        <w:tc>
          <w:tcPr>
            <w:tcW w:w="4252" w:type="dxa"/>
            <w:vAlign w:val="center"/>
          </w:tcPr>
          <w:p w:rsidR="00F04593" w:rsidRDefault="005255B6">
            <w:pPr>
              <w:jc w:val="center"/>
            </w:pPr>
            <w:r>
              <w:rPr>
                <w:rFonts w:ascii="Arial" w:eastAsia="Arial" w:hAnsi="Arial"/>
                <w:b/>
                <w:sz w:val="18"/>
              </w:rPr>
              <w:t>ÖTENAZİ PROSEDÜRÜ</w:t>
            </w:r>
          </w:p>
        </w:tc>
        <w:tc>
          <w:tcPr>
            <w:tcW w:w="3260" w:type="dxa"/>
            <w:vAlign w:val="center"/>
          </w:tcPr>
          <w:p w:rsidR="00611B66" w:rsidRPr="004248FD" w:rsidRDefault="00611B66" w:rsidP="000B1A7B">
            <w:pPr>
              <w:ind w:hanging="1"/>
              <w:jc w:val="center"/>
              <w:rPr>
                <w:rFonts w:ascii="Arial" w:hAnsi="Arial" w:cs="Arial"/>
                <w:b/>
                <w:color w:val="1F3864" w:themeColor="accent1" w:themeShade="80"/>
              </w:rPr>
            </w:pPr>
          </w:p>
        </w:tc>
      </w:tr>
      <w:tr w:rsidR="00EC561F" w:rsidRPr="004248FD" w:rsidTr="000B1A7B">
        <w:tc>
          <w:tcPr>
            <w:tcW w:w="2694" w:type="dxa"/>
            <w:vAlign w:val="center"/>
          </w:tcPr>
          <w:p w:rsidR="00F04593" w:rsidRDefault="005255B6">
            <w:pPr>
              <w:jc w:val="center"/>
            </w:pPr>
            <w:r>
              <w:rPr>
                <w:rFonts w:ascii="Arial" w:eastAsia="Arial" w:hAnsi="Arial"/>
                <w:b/>
                <w:sz w:val="18"/>
              </w:rPr>
              <w:t>YAYIN TARİHİ:15.09.2026</w:t>
            </w:r>
          </w:p>
        </w:tc>
        <w:tc>
          <w:tcPr>
            <w:tcW w:w="4252" w:type="dxa"/>
            <w:vAlign w:val="center"/>
          </w:tcPr>
          <w:p w:rsidR="00F04593" w:rsidRDefault="005255B6">
            <w:pPr>
              <w:jc w:val="center"/>
            </w:pPr>
            <w:r>
              <w:rPr>
                <w:rFonts w:ascii="Arial" w:eastAsia="Arial" w:hAnsi="Arial"/>
                <w:b/>
                <w:sz w:val="18"/>
              </w:rPr>
              <w:t>GÜNCELLEME TARİHİ: 15.09.2026</w:t>
            </w:r>
          </w:p>
        </w:tc>
        <w:tc>
          <w:tcPr>
            <w:tcW w:w="3260" w:type="dxa"/>
            <w:vAlign w:val="center"/>
          </w:tcPr>
          <w:p w:rsidR="00F04593" w:rsidRDefault="005255B6">
            <w:pPr>
              <w:jc w:val="center"/>
            </w:pPr>
            <w:r>
              <w:rPr>
                <w:rFonts w:ascii="Arial" w:eastAsia="Arial" w:hAnsi="Arial"/>
                <w:b/>
                <w:sz w:val="18"/>
              </w:rPr>
              <w:t>BELGE NO: MAKÜ.HH.53</w:t>
            </w:r>
          </w:p>
        </w:tc>
      </w:tr>
    </w:tbl>
    <w:p w:rsidR="00737ACD" w:rsidRPr="004248FD" w:rsidRDefault="00737ACD" w:rsidP="000B1A7B">
      <w:pPr>
        <w:ind w:hanging="1"/>
        <w:rPr>
          <w:rFonts w:ascii="Arial" w:hAnsi="Arial" w:cs="Arial"/>
        </w:rPr>
      </w:pPr>
    </w:p>
    <w:tbl>
      <w:tblPr>
        <w:tblStyle w:val="TabloKlavuzu"/>
        <w:tblW w:w="0" w:type="auto"/>
        <w:tblLook w:val="04A0" w:firstRow="1" w:lastRow="0" w:firstColumn="1" w:lastColumn="0" w:noHBand="0" w:noVBand="1"/>
      </w:tblPr>
      <w:tblGrid>
        <w:gridCol w:w="10191"/>
      </w:tblGrid>
      <w:tr w:rsidR="00611B66" w:rsidRPr="004248FD" w:rsidTr="000B1A7B">
        <w:tc>
          <w:tcPr>
            <w:tcW w:w="10191" w:type="dxa"/>
            <w:tcMar>
              <w:top w:w="120" w:type="dxa"/>
              <w:left w:w="120" w:type="dxa"/>
              <w:bottom w:w="120" w:type="dxa"/>
              <w:right w:w="120" w:type="dxa"/>
            </w:tcMar>
          </w:tcPr>
          <w:p w:rsidR="00F04593" w:rsidRDefault="005255B6">
            <w:pPr>
              <w:spacing w:after="40" w:line="247" w:lineRule="auto"/>
              <w:jc w:val="both"/>
            </w:pPr>
            <w:r>
              <w:rPr>
                <w:rFonts w:ascii="Arial" w:eastAsia="Arial" w:hAnsi="Arial"/>
                <w:b/>
                <w:sz w:val="21"/>
              </w:rPr>
              <w:t>1. Amaç:</w:t>
            </w:r>
            <w:r>
              <w:rPr>
                <w:rFonts w:ascii="Arial" w:eastAsia="Arial" w:hAnsi="Arial"/>
                <w:sz w:val="21"/>
              </w:rPr>
              <w:t xml:space="preserve"> MAKÜVET Hayvan Hastanesinde ötanazi işlemlerinin; yürürlükteki mevzuata, hayvan refahı ilkelerine, ürün ruhsat/prospektüs bilgilerine ve güncel veteriner hekimlik uygulamalarına uygun olarak, ağrı ve distresi en aza indirecek, güvenli, insancıl ve izlenebilir biçimde gerçekleştirilmesini sağlamaktır.</w:t>
            </w:r>
          </w:p>
          <w:p w:rsidR="00F04593" w:rsidRDefault="005255B6">
            <w:pPr>
              <w:spacing w:after="40" w:line="247" w:lineRule="auto"/>
              <w:jc w:val="both"/>
            </w:pPr>
            <w:r>
              <w:rPr>
                <w:rFonts w:ascii="Arial" w:eastAsia="Arial" w:hAnsi="Arial"/>
                <w:b/>
                <w:sz w:val="21"/>
              </w:rPr>
              <w:t>2. Kapsam:</w:t>
            </w:r>
            <w:r>
              <w:rPr>
                <w:rFonts w:ascii="Arial" w:eastAsia="Arial" w:hAnsi="Arial"/>
                <w:sz w:val="21"/>
              </w:rPr>
              <w:t xml:space="preserve"> Bu prosedür; MAKÜVET Hayvan Hastanesine getirilen kedi, köpek, at, sığır ve diğer uygun hayvan türlerinde ötanazi kararının verilmesi, hasta sahibinin bilgilendirilmesi ve onamı, premedikasyon ve genel anestezi, ölümün doğrulanması, kayıt ve kadavranın muhafaza/bertaraf işlemlerini kapsar. </w:t>
            </w:r>
          </w:p>
          <w:p w:rsidR="00F04593" w:rsidRDefault="005255B6">
            <w:pPr>
              <w:spacing w:after="40" w:line="247" w:lineRule="auto"/>
              <w:jc w:val="both"/>
            </w:pPr>
            <w:r>
              <w:rPr>
                <w:rFonts w:ascii="Arial" w:eastAsia="Arial" w:hAnsi="Arial"/>
                <w:b/>
                <w:sz w:val="21"/>
              </w:rPr>
              <w:t>3. Dayanak:</w:t>
            </w:r>
            <w:r>
              <w:rPr>
                <w:rFonts w:ascii="Arial" w:eastAsia="Arial" w:hAnsi="Arial"/>
                <w:sz w:val="21"/>
              </w:rPr>
              <w:t xml:space="preserve"> 5996 sayılı Veteriner Hizmetleri, Bitki Sağlığı, Gıda ve Yem Kanunu’nun 9 uncu maddesi; 5199 sayılı Hayvanları Koruma Kanunu’nun ilgili hükümleri; Hayvanların Korunması Hakkında Uygulama Yönetmeliği; güncel uluslararası ötanazi/hayvan refahı ilkeleridir.</w:t>
            </w:r>
          </w:p>
          <w:p w:rsidR="00F04593" w:rsidRDefault="005255B6">
            <w:pPr>
              <w:spacing w:after="40" w:line="247" w:lineRule="auto"/>
              <w:jc w:val="both"/>
            </w:pPr>
            <w:r>
              <w:rPr>
                <w:rFonts w:ascii="Arial" w:eastAsia="Arial" w:hAnsi="Arial"/>
                <w:b/>
                <w:sz w:val="21"/>
              </w:rPr>
              <w:t>4. Sorumlular:</w:t>
            </w:r>
            <w:r>
              <w:rPr>
                <w:rFonts w:ascii="Arial" w:eastAsia="Arial" w:hAnsi="Arial"/>
                <w:sz w:val="21"/>
              </w:rPr>
              <w:t xml:space="preserve"> Ötanazi kararını veren ve uygulama yöntemini seçen veteriner hekim; işlemi gerçekleştiren veteriner hekim; gerekli hâllerde sorumlu öğretim üyesi; kadavranın teslim ve bertaraf sürecinde görevli hastane personelidir.</w:t>
            </w:r>
          </w:p>
          <w:p w:rsidR="00F04593" w:rsidRDefault="005255B6">
            <w:pPr>
              <w:keepNext/>
              <w:spacing w:before="30" w:after="30" w:line="245" w:lineRule="auto"/>
              <w:jc w:val="both"/>
            </w:pPr>
            <w:r>
              <w:rPr>
                <w:rFonts w:ascii="Arial" w:eastAsia="Arial" w:hAnsi="Arial"/>
                <w:b/>
                <w:sz w:val="21"/>
              </w:rPr>
              <w:t>5. Ötanazi Kararının Verilmesi</w:t>
            </w:r>
          </w:p>
          <w:p w:rsidR="00F04593" w:rsidRDefault="005255B6">
            <w:pPr>
              <w:spacing w:after="20" w:line="247" w:lineRule="auto"/>
              <w:ind w:left="159"/>
              <w:jc w:val="both"/>
            </w:pPr>
            <w:r>
              <w:rPr>
                <w:rFonts w:ascii="Arial" w:eastAsia="Arial" w:hAnsi="Arial"/>
                <w:sz w:val="21"/>
              </w:rPr>
              <w:t>• Ötanazi kararı; hastalığın niteliği, prognoz, mevcut tedavi seçenekleri, ağrı ve ıstırap düzeyi, yaşam kalitesi ve ilgili mevzuat birlikte değerlendirilerek veteriner hekim tarafından verilir.</w:t>
            </w:r>
          </w:p>
          <w:p w:rsidR="00F04593" w:rsidRDefault="005255B6">
            <w:pPr>
              <w:spacing w:after="20" w:line="247" w:lineRule="auto"/>
              <w:ind w:left="159"/>
              <w:jc w:val="both"/>
            </w:pPr>
            <w:r>
              <w:rPr>
                <w:rFonts w:ascii="Arial" w:eastAsia="Arial" w:hAnsi="Arial"/>
                <w:sz w:val="21"/>
              </w:rPr>
              <w:t>• Sahipli hayvanlarda tıbbi gerekçe hasta sahibine açıklanır ve işlem öncesinde yazılı onam alınır. Hasta sahibinin talebi tek başına tıbbi ve hukuki endikasyon olarak kabul edilmez.</w:t>
            </w:r>
          </w:p>
          <w:p w:rsidR="00F04593" w:rsidRDefault="005255B6">
            <w:pPr>
              <w:spacing w:after="20" w:line="247" w:lineRule="auto"/>
              <w:ind w:left="159"/>
              <w:jc w:val="both"/>
            </w:pPr>
            <w:r>
              <w:rPr>
                <w:rFonts w:ascii="Arial" w:eastAsia="Arial" w:hAnsi="Arial"/>
                <w:sz w:val="21"/>
              </w:rPr>
              <w:t>• Ötanazi kararı ve gerekçesi hasta kayıt sistemine kaydedilir.</w:t>
            </w:r>
          </w:p>
          <w:p w:rsidR="00F04593" w:rsidRDefault="005255B6">
            <w:pPr>
              <w:keepNext/>
              <w:spacing w:before="30" w:after="30" w:line="245" w:lineRule="auto"/>
              <w:jc w:val="both"/>
            </w:pPr>
            <w:r>
              <w:rPr>
                <w:rFonts w:ascii="Arial" w:eastAsia="Arial" w:hAnsi="Arial"/>
                <w:b/>
                <w:sz w:val="21"/>
              </w:rPr>
              <w:t>6. Temel Uygulama İlkeleri</w:t>
            </w:r>
          </w:p>
          <w:p w:rsidR="00F04593" w:rsidRDefault="005255B6">
            <w:pPr>
              <w:spacing w:after="20" w:line="247" w:lineRule="auto"/>
              <w:ind w:left="159"/>
              <w:jc w:val="both"/>
            </w:pPr>
            <w:r>
              <w:rPr>
                <w:rFonts w:ascii="Arial" w:eastAsia="Arial" w:hAnsi="Arial"/>
                <w:sz w:val="21"/>
              </w:rPr>
              <w:t>• İşlem mümkün olduğunca sakin, kontrollü ve mahrem bir ortamda gerçekleştirilir; hasta sahibi isterse uygun koşullarda işlem öncesi/işlem sırasında yanında bulunabilir.</w:t>
            </w:r>
          </w:p>
          <w:p w:rsidR="00F04593" w:rsidRDefault="005255B6">
            <w:pPr>
              <w:spacing w:after="20" w:line="247" w:lineRule="auto"/>
              <w:ind w:left="159"/>
              <w:jc w:val="both"/>
            </w:pPr>
            <w:r>
              <w:rPr>
                <w:rFonts w:ascii="Arial" w:eastAsia="Arial" w:hAnsi="Arial"/>
                <w:sz w:val="21"/>
              </w:rPr>
              <w:t xml:space="preserve">• </w:t>
            </w:r>
            <w:r w:rsidRPr="005255B6">
              <w:rPr>
                <w:rFonts w:ascii="Arial" w:eastAsia="Arial" w:hAnsi="Arial"/>
                <w:sz w:val="21"/>
              </w:rPr>
              <w:t>Ötenazi uygulaması</w:t>
            </w:r>
            <w:r>
              <w:rPr>
                <w:rFonts w:ascii="Arial" w:eastAsia="Arial" w:hAnsi="Arial"/>
                <w:sz w:val="21"/>
              </w:rPr>
              <w:t xml:space="preserve"> öncesi genel anestezi düzeyinde bilinç kaybı sağlanır ve doğrulanır.</w:t>
            </w:r>
          </w:p>
          <w:p w:rsidR="00F04593" w:rsidRDefault="005255B6">
            <w:pPr>
              <w:spacing w:after="20" w:line="247" w:lineRule="auto"/>
              <w:ind w:left="159"/>
              <w:jc w:val="both"/>
            </w:pPr>
            <w:r>
              <w:rPr>
                <w:rFonts w:ascii="Arial" w:eastAsia="Arial" w:hAnsi="Arial"/>
                <w:sz w:val="21"/>
              </w:rPr>
              <w:t>• Bilinç kaybı; doğrulma refleksinin kaybı, amaçlı hareketin olmaması ve ağrılı uyarana yanıtın bulunmaması gibi klinik bulgularla doğrulanır.</w:t>
            </w:r>
          </w:p>
          <w:p w:rsidR="00F04593" w:rsidRDefault="005255B6" w:rsidP="005255B6">
            <w:pPr>
              <w:spacing w:after="20" w:line="247" w:lineRule="auto"/>
              <w:ind w:left="159"/>
              <w:jc w:val="both"/>
            </w:pPr>
            <w:r>
              <w:rPr>
                <w:rFonts w:ascii="Arial" w:eastAsia="Arial" w:hAnsi="Arial"/>
                <w:sz w:val="21"/>
              </w:rPr>
              <w:t>• Damar yolu güvenli şekilde sağlanır ve verilecek olan ilaçların tamamının damar içine verildiğinden emin olunur. Ekstravasküler kaçak ağrıya neden olabileceğinden şüpheli damar yolundan uygulama yapılmaz.</w:t>
            </w:r>
          </w:p>
          <w:p w:rsidR="00F04593" w:rsidRDefault="005255B6">
            <w:pPr>
              <w:keepNext/>
              <w:spacing w:before="30" w:after="30" w:line="245" w:lineRule="auto"/>
              <w:jc w:val="both"/>
            </w:pPr>
            <w:r>
              <w:rPr>
                <w:rFonts w:ascii="Arial" w:eastAsia="Arial" w:hAnsi="Arial"/>
                <w:b/>
                <w:sz w:val="21"/>
              </w:rPr>
              <w:t>7. Premedikasyon ve Genel Anestezi</w:t>
            </w:r>
          </w:p>
          <w:p w:rsidR="00F04593" w:rsidRDefault="005255B6">
            <w:pPr>
              <w:spacing w:after="24" w:line="247" w:lineRule="auto"/>
              <w:ind w:left="68"/>
              <w:jc w:val="both"/>
            </w:pPr>
            <w:r>
              <w:rPr>
                <w:rFonts w:ascii="Arial" w:eastAsia="Arial" w:hAnsi="Arial"/>
                <w:b/>
                <w:sz w:val="21"/>
              </w:rPr>
              <w:t>7.1. Hazırlık:</w:t>
            </w:r>
            <w:r>
              <w:rPr>
                <w:rFonts w:ascii="Arial" w:eastAsia="Arial" w:hAnsi="Arial"/>
                <w:sz w:val="21"/>
              </w:rPr>
              <w:t xml:space="preserve"> Hasta klinik olarak değerlendirilir; türü, vücut ağırlığı, dolaşım durumu ve mevcut hastalıkları dikkate alınır. İntravenöz damar yolu açılır.</w:t>
            </w:r>
          </w:p>
          <w:p w:rsidR="00F04593" w:rsidRDefault="005255B6">
            <w:pPr>
              <w:spacing w:after="24" w:line="247" w:lineRule="auto"/>
              <w:ind w:left="68"/>
              <w:jc w:val="both"/>
            </w:pPr>
            <w:r>
              <w:rPr>
                <w:rFonts w:ascii="Arial" w:eastAsia="Arial" w:hAnsi="Arial"/>
                <w:b/>
                <w:sz w:val="21"/>
              </w:rPr>
              <w:t>7.2. Premedikasyon:</w:t>
            </w:r>
            <w:r>
              <w:rPr>
                <w:rFonts w:ascii="Arial" w:eastAsia="Arial" w:hAnsi="Arial"/>
                <w:sz w:val="21"/>
              </w:rPr>
              <w:t xml:space="preserve"> Anksiyete, korku, ağrı veya ajitasyon bulunan hastalarda, sorumlu veteriner hekimin değerlendirmesiyle tür ve klinik duruma uygun sedatif ve/veya analjezik ilaçlar kullanılır. Butorfanol gibi opioid analjezikler premedikasyonun bir bileşeni olarak kullanılabilir; ancak tek başına ötanazi amacıyla kullanılmaz.</w:t>
            </w:r>
          </w:p>
          <w:p w:rsidR="00F04593" w:rsidRDefault="005255B6">
            <w:pPr>
              <w:spacing w:after="30" w:line="247" w:lineRule="auto"/>
              <w:ind w:left="68"/>
              <w:jc w:val="both"/>
              <w:rPr>
                <w:rFonts w:ascii="Arial" w:eastAsia="Arial" w:hAnsi="Arial"/>
                <w:sz w:val="21"/>
              </w:rPr>
            </w:pPr>
            <w:r>
              <w:rPr>
                <w:rFonts w:ascii="Arial" w:eastAsia="Arial" w:hAnsi="Arial"/>
                <w:b/>
                <w:sz w:val="21"/>
              </w:rPr>
              <w:t>7.3. Genel anestezi ve bilinç kaybının doğrulanması:</w:t>
            </w:r>
            <w:r>
              <w:rPr>
                <w:rFonts w:ascii="Arial" w:eastAsia="Arial" w:hAnsi="Arial"/>
                <w:sz w:val="21"/>
              </w:rPr>
              <w:t xml:space="preserve"> Ketamin temelli genel anestezi protokolü ile yeterli anestezi derinliği sağlanır. T61 uygulanacak hastada tam bilinç kaybı zorunludur. Bilinç kaybı; doğrulma refleksinin kaybı, amaçlı hareketin olmaması ve ağrılı uyarana yanıtın bulunmaması gibi klinik bulgularla doğrulanır.</w:t>
            </w:r>
          </w:p>
          <w:p w:rsidR="005255B6" w:rsidRDefault="005255B6">
            <w:pPr>
              <w:spacing w:after="30" w:line="247" w:lineRule="auto"/>
              <w:ind w:left="68"/>
              <w:jc w:val="both"/>
            </w:pPr>
          </w:p>
          <w:p w:rsidR="005255B6" w:rsidRDefault="005255B6">
            <w:pPr>
              <w:spacing w:after="30" w:line="247" w:lineRule="auto"/>
              <w:ind w:left="68"/>
              <w:jc w:val="both"/>
            </w:pPr>
          </w:p>
          <w:p w:rsidR="005255B6" w:rsidRDefault="005255B6">
            <w:pPr>
              <w:spacing w:after="30" w:line="247" w:lineRule="auto"/>
              <w:ind w:left="68"/>
              <w:jc w:val="both"/>
            </w:pPr>
          </w:p>
          <w:p w:rsidR="005255B6" w:rsidRDefault="005255B6">
            <w:pPr>
              <w:spacing w:after="30" w:line="247" w:lineRule="auto"/>
              <w:ind w:left="68"/>
              <w:jc w:val="both"/>
            </w:pPr>
          </w:p>
          <w:p w:rsidR="005255B6" w:rsidRDefault="005255B6">
            <w:pPr>
              <w:spacing w:after="30" w:line="247" w:lineRule="auto"/>
              <w:ind w:left="68"/>
              <w:jc w:val="both"/>
            </w:pPr>
          </w:p>
          <w:p w:rsidR="005255B6" w:rsidRDefault="005255B6">
            <w:pPr>
              <w:spacing w:after="30" w:line="247" w:lineRule="auto"/>
              <w:ind w:left="68"/>
              <w:jc w:val="both"/>
            </w:pPr>
          </w:p>
          <w:p w:rsidR="005255B6" w:rsidRDefault="005255B6">
            <w:pPr>
              <w:spacing w:after="30" w:line="247" w:lineRule="auto"/>
              <w:ind w:left="68"/>
              <w:jc w:val="both"/>
            </w:pPr>
          </w:p>
          <w:p w:rsidR="005255B6" w:rsidRDefault="005255B6" w:rsidP="005255B6">
            <w:pPr>
              <w:spacing w:after="30" w:line="247" w:lineRule="auto"/>
              <w:jc w:val="both"/>
            </w:pPr>
          </w:p>
          <w:p w:rsidR="005255B6" w:rsidRDefault="005255B6" w:rsidP="005255B6">
            <w:pPr>
              <w:spacing w:after="30" w:line="247" w:lineRule="auto"/>
              <w:jc w:val="both"/>
            </w:pPr>
          </w:p>
          <w:p w:rsidR="00F04593" w:rsidRDefault="005255B6">
            <w:pPr>
              <w:keepNext/>
              <w:spacing w:before="30" w:after="30" w:line="245" w:lineRule="auto"/>
              <w:jc w:val="both"/>
            </w:pPr>
            <w:r>
              <w:rPr>
                <w:rFonts w:ascii="Arial" w:eastAsia="Arial" w:hAnsi="Arial"/>
                <w:b/>
                <w:sz w:val="21"/>
              </w:rPr>
              <w:lastRenderedPageBreak/>
              <w:t>8. Ötanazi Yöntemleri</w:t>
            </w:r>
          </w:p>
          <w:p w:rsidR="00F04593" w:rsidRDefault="005255B6">
            <w:pPr>
              <w:spacing w:after="24" w:line="247" w:lineRule="auto"/>
              <w:ind w:left="68"/>
              <w:jc w:val="both"/>
            </w:pPr>
            <w:r>
              <w:rPr>
                <w:rFonts w:ascii="Arial" w:eastAsia="Arial" w:hAnsi="Arial"/>
                <w:b/>
                <w:sz w:val="21"/>
              </w:rPr>
              <w:t>8.1. T61 ile Ötanazi:</w:t>
            </w:r>
            <w:r>
              <w:rPr>
                <w:rFonts w:ascii="Arial" w:eastAsia="Arial" w:hAnsi="Arial"/>
                <w:sz w:val="21"/>
              </w:rPr>
              <w:t xml:space="preserve"> T61, yalnızca bilinci tamamen kapalı hayvanlarda ve hedef tür, uygulama yolu ve dozlara uygun olarak uygulanır.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1757"/>
              <w:gridCol w:w="1474"/>
              <w:gridCol w:w="4649"/>
            </w:tblGrid>
            <w:tr w:rsidR="00F04593" w:rsidRPr="005255B6" w:rsidTr="005255B6">
              <w:trPr>
                <w:cantSplit/>
                <w:jc w:val="center"/>
              </w:trPr>
              <w:tc>
                <w:tcPr>
                  <w:tcW w:w="1191"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b/>
                      <w:sz w:val="18"/>
                    </w:rPr>
                    <w:t>Tür</w:t>
                  </w:r>
                </w:p>
              </w:tc>
              <w:tc>
                <w:tcPr>
                  <w:tcW w:w="1757"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b/>
                      <w:sz w:val="18"/>
                    </w:rPr>
                    <w:t>Uygulama yolu</w:t>
                  </w:r>
                </w:p>
              </w:tc>
              <w:tc>
                <w:tcPr>
                  <w:tcW w:w="1474"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b/>
                      <w:sz w:val="18"/>
                    </w:rPr>
                    <w:t>Prospektüs dozu</w:t>
                  </w:r>
                </w:p>
              </w:tc>
              <w:tc>
                <w:tcPr>
                  <w:tcW w:w="4649"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b/>
                      <w:sz w:val="18"/>
                    </w:rPr>
                    <w:t>Not</w:t>
                  </w:r>
                </w:p>
              </w:tc>
            </w:tr>
            <w:tr w:rsidR="00F04593" w:rsidRPr="005255B6" w:rsidTr="005255B6">
              <w:trPr>
                <w:cantSplit/>
                <w:jc w:val="center"/>
              </w:trPr>
              <w:tc>
                <w:tcPr>
                  <w:tcW w:w="1191"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Köpek</w:t>
                  </w:r>
                </w:p>
              </w:tc>
              <w:tc>
                <w:tcPr>
                  <w:tcW w:w="1757"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İntravenöz</w:t>
                  </w:r>
                </w:p>
              </w:tc>
              <w:tc>
                <w:tcPr>
                  <w:tcW w:w="1474"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0.3-0.5 mL/kg</w:t>
                  </w:r>
                </w:p>
              </w:tc>
              <w:tc>
                <w:tcPr>
                  <w:tcW w:w="4649" w:type="dxa"/>
                  <w:shd w:val="clear" w:color="auto" w:fill="auto"/>
                  <w:tcMar>
                    <w:top w:w="70" w:type="dxa"/>
                    <w:left w:w="70" w:type="dxa"/>
                    <w:bottom w:w="70" w:type="dxa"/>
                    <w:right w:w="70" w:type="dxa"/>
                  </w:tcMar>
                  <w:vAlign w:val="center"/>
                </w:tcPr>
                <w:p w:rsidR="00F04593" w:rsidRPr="005255B6" w:rsidRDefault="005255B6">
                  <w:r w:rsidRPr="005255B6">
                    <w:rPr>
                      <w:rFonts w:ascii="Arial" w:eastAsia="Arial" w:hAnsi="Arial"/>
                      <w:sz w:val="18"/>
                    </w:rPr>
                    <w:t>Tercih edilen uygulama yoludur; tam dozun damar içinde verilmesi sağlanır.</w:t>
                  </w:r>
                </w:p>
              </w:tc>
            </w:tr>
            <w:tr w:rsidR="00F04593" w:rsidRPr="005255B6" w:rsidTr="005255B6">
              <w:trPr>
                <w:cantSplit/>
                <w:jc w:val="center"/>
              </w:trPr>
              <w:tc>
                <w:tcPr>
                  <w:tcW w:w="1191"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Köpek</w:t>
                  </w:r>
                </w:p>
              </w:tc>
              <w:tc>
                <w:tcPr>
                  <w:tcW w:w="1757"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İntrapulmoner</w:t>
                  </w:r>
                </w:p>
              </w:tc>
              <w:tc>
                <w:tcPr>
                  <w:tcW w:w="1474"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7-10 mL (≤10 kg); 13-20 mL (&gt;10 kg)</w:t>
                  </w:r>
                </w:p>
              </w:tc>
              <w:tc>
                <w:tcPr>
                  <w:tcW w:w="4649" w:type="dxa"/>
                  <w:shd w:val="clear" w:color="auto" w:fill="auto"/>
                  <w:tcMar>
                    <w:top w:w="70" w:type="dxa"/>
                    <w:left w:w="70" w:type="dxa"/>
                    <w:bottom w:w="70" w:type="dxa"/>
                    <w:right w:w="70" w:type="dxa"/>
                  </w:tcMar>
                  <w:vAlign w:val="center"/>
                </w:tcPr>
                <w:p w:rsidR="00F04593" w:rsidRPr="005255B6" w:rsidRDefault="005255B6">
                  <w:r w:rsidRPr="005255B6">
                    <w:rPr>
                      <w:rFonts w:ascii="Arial" w:eastAsia="Arial" w:hAnsi="Arial"/>
                      <w:sz w:val="18"/>
                    </w:rPr>
                    <w:t>Yalnız genel anestezi altında ve intravenöz uygulamanın uygun olmadığı durumda prospektüse göre.</w:t>
                  </w:r>
                </w:p>
              </w:tc>
            </w:tr>
            <w:tr w:rsidR="00F04593" w:rsidRPr="005255B6" w:rsidTr="005255B6">
              <w:trPr>
                <w:cantSplit/>
                <w:jc w:val="center"/>
              </w:trPr>
              <w:tc>
                <w:tcPr>
                  <w:tcW w:w="1191"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Kedi</w:t>
                  </w:r>
                </w:p>
              </w:tc>
              <w:tc>
                <w:tcPr>
                  <w:tcW w:w="1757"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İntrapulmoner</w:t>
                  </w:r>
                </w:p>
              </w:tc>
              <w:tc>
                <w:tcPr>
                  <w:tcW w:w="1474"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1 mL birkaç günlük yavru; 3 mL ≤6 ay; 5 mL &gt;6 ay; 10 mL &gt;5 kg</w:t>
                  </w:r>
                </w:p>
              </w:tc>
              <w:tc>
                <w:tcPr>
                  <w:tcW w:w="4649" w:type="dxa"/>
                  <w:shd w:val="clear" w:color="auto" w:fill="auto"/>
                  <w:tcMar>
                    <w:top w:w="70" w:type="dxa"/>
                    <w:left w:w="70" w:type="dxa"/>
                    <w:bottom w:w="70" w:type="dxa"/>
                    <w:right w:w="70" w:type="dxa"/>
                  </w:tcMar>
                  <w:vAlign w:val="center"/>
                </w:tcPr>
                <w:p w:rsidR="00F04593" w:rsidRPr="005255B6" w:rsidRDefault="005255B6">
                  <w:r w:rsidRPr="005255B6">
                    <w:rPr>
                      <w:rFonts w:ascii="Arial" w:eastAsia="Arial" w:hAnsi="Arial"/>
                      <w:sz w:val="18"/>
                    </w:rPr>
                    <w:t>Yalnız genel anestezi altında; güncel prospektüs esas alınır.</w:t>
                  </w:r>
                </w:p>
              </w:tc>
            </w:tr>
            <w:tr w:rsidR="00F04593" w:rsidRPr="005255B6" w:rsidTr="005255B6">
              <w:trPr>
                <w:cantSplit/>
                <w:jc w:val="center"/>
              </w:trPr>
              <w:tc>
                <w:tcPr>
                  <w:tcW w:w="1191"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At</w:t>
                  </w:r>
                </w:p>
              </w:tc>
              <w:tc>
                <w:tcPr>
                  <w:tcW w:w="1757"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İntravenöz</w:t>
                  </w:r>
                </w:p>
              </w:tc>
              <w:tc>
                <w:tcPr>
                  <w:tcW w:w="1474"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4-6 mL/50 kg</w:t>
                  </w:r>
                </w:p>
              </w:tc>
              <w:tc>
                <w:tcPr>
                  <w:tcW w:w="4649" w:type="dxa"/>
                  <w:shd w:val="clear" w:color="auto" w:fill="auto"/>
                  <w:tcMar>
                    <w:top w:w="70" w:type="dxa"/>
                    <w:left w:w="70" w:type="dxa"/>
                    <w:bottom w:w="70" w:type="dxa"/>
                    <w:right w:w="70" w:type="dxa"/>
                  </w:tcMar>
                  <w:vAlign w:val="center"/>
                </w:tcPr>
                <w:p w:rsidR="00F04593" w:rsidRPr="005255B6" w:rsidRDefault="005255B6">
                  <w:r w:rsidRPr="005255B6">
                    <w:rPr>
                      <w:rFonts w:ascii="Arial" w:eastAsia="Arial" w:hAnsi="Arial"/>
                      <w:sz w:val="18"/>
                    </w:rPr>
                    <w:t>Tam damar içi uygulama sağlanır; kadavra gıda zincirine girmez.</w:t>
                  </w:r>
                </w:p>
              </w:tc>
            </w:tr>
            <w:tr w:rsidR="00F04593" w:rsidRPr="005255B6" w:rsidTr="005255B6">
              <w:trPr>
                <w:cantSplit/>
                <w:jc w:val="center"/>
              </w:trPr>
              <w:tc>
                <w:tcPr>
                  <w:tcW w:w="1191"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Kuş/diğer küçük hayvan</w:t>
                  </w:r>
                </w:p>
              </w:tc>
              <w:tc>
                <w:tcPr>
                  <w:tcW w:w="1757"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İntrapulmoner</w:t>
                  </w:r>
                </w:p>
              </w:tc>
              <w:tc>
                <w:tcPr>
                  <w:tcW w:w="1474"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0.5-2.0 mL, vücut ağırlığına göre</w:t>
                  </w:r>
                </w:p>
              </w:tc>
              <w:tc>
                <w:tcPr>
                  <w:tcW w:w="4649" w:type="dxa"/>
                  <w:shd w:val="clear" w:color="auto" w:fill="auto"/>
                  <w:tcMar>
                    <w:top w:w="70" w:type="dxa"/>
                    <w:left w:w="70" w:type="dxa"/>
                    <w:bottom w:w="70" w:type="dxa"/>
                    <w:right w:w="70" w:type="dxa"/>
                  </w:tcMar>
                  <w:vAlign w:val="center"/>
                </w:tcPr>
                <w:p w:rsidR="00F04593" w:rsidRPr="005255B6" w:rsidRDefault="005255B6">
                  <w:r w:rsidRPr="005255B6">
                    <w:rPr>
                      <w:rFonts w:ascii="Arial" w:eastAsia="Arial" w:hAnsi="Arial"/>
                      <w:sz w:val="18"/>
                    </w:rPr>
                    <w:t>Yalnız bilinci kapalı hayvanda ve ürün endikasyonu/prospektüsü çerçevesinde.</w:t>
                  </w:r>
                </w:p>
              </w:tc>
            </w:tr>
            <w:tr w:rsidR="00F04593" w:rsidTr="005255B6">
              <w:trPr>
                <w:cantSplit/>
                <w:jc w:val="center"/>
              </w:trPr>
              <w:tc>
                <w:tcPr>
                  <w:tcW w:w="1191"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Sığır</w:t>
                  </w:r>
                </w:p>
              </w:tc>
              <w:tc>
                <w:tcPr>
                  <w:tcW w:w="1757"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w:t>
                  </w:r>
                </w:p>
              </w:tc>
              <w:tc>
                <w:tcPr>
                  <w:tcW w:w="1474" w:type="dxa"/>
                  <w:shd w:val="clear" w:color="auto" w:fill="auto"/>
                  <w:tcMar>
                    <w:top w:w="70" w:type="dxa"/>
                    <w:left w:w="70" w:type="dxa"/>
                    <w:bottom w:w="70" w:type="dxa"/>
                    <w:right w:w="70" w:type="dxa"/>
                  </w:tcMar>
                  <w:vAlign w:val="center"/>
                </w:tcPr>
                <w:p w:rsidR="00F04593" w:rsidRPr="005255B6" w:rsidRDefault="005255B6">
                  <w:pPr>
                    <w:jc w:val="center"/>
                  </w:pPr>
                  <w:r w:rsidRPr="005255B6">
                    <w:rPr>
                      <w:rFonts w:ascii="Arial" w:eastAsia="Arial" w:hAnsi="Arial"/>
                      <w:sz w:val="18"/>
                    </w:rPr>
                    <w:t>—</w:t>
                  </w:r>
                </w:p>
              </w:tc>
              <w:tc>
                <w:tcPr>
                  <w:tcW w:w="4649" w:type="dxa"/>
                  <w:shd w:val="clear" w:color="auto" w:fill="auto"/>
                  <w:tcMar>
                    <w:top w:w="70" w:type="dxa"/>
                    <w:left w:w="70" w:type="dxa"/>
                    <w:bottom w:w="70" w:type="dxa"/>
                    <w:right w:w="70" w:type="dxa"/>
                  </w:tcMar>
                  <w:vAlign w:val="center"/>
                </w:tcPr>
                <w:p w:rsidR="00F04593" w:rsidRDefault="005255B6">
                  <w:r w:rsidRPr="005255B6">
                    <w:rPr>
                      <w:rFonts w:ascii="Arial" w:eastAsia="Arial" w:hAnsi="Arial"/>
                      <w:sz w:val="18"/>
                    </w:rPr>
                    <w:t>T61’in prospektüsünde sığır hedef tür değildir; standart T61 uygulaması yapılmaz. Sığırda gerektiğinde 9.2’de tanımlanan alternatif farmakolojik yöntem, sorumlu veteriner hekimin klinik değerlendirmesi ve ilgili mevzuat çerçevesinde uygulanır. Kadavra gıda zincirine sokulmaz.</w:t>
                  </w:r>
                </w:p>
              </w:tc>
            </w:tr>
          </w:tbl>
          <w:p w:rsidR="00F04593" w:rsidRDefault="00F04593"/>
          <w:p w:rsidR="00F04593" w:rsidRDefault="005255B6">
            <w:pPr>
              <w:spacing w:before="24" w:after="24" w:line="247" w:lineRule="auto"/>
              <w:ind w:left="68"/>
              <w:jc w:val="both"/>
            </w:pPr>
            <w:r>
              <w:rPr>
                <w:rFonts w:ascii="Arial" w:eastAsia="Arial" w:hAnsi="Arial"/>
                <w:b/>
                <w:sz w:val="21"/>
              </w:rPr>
              <w:t>8.2. Alternatif Yöntem - Propofol ile Anestezik Aşırı Doz:</w:t>
            </w:r>
            <w:r>
              <w:rPr>
                <w:rFonts w:ascii="Arial" w:eastAsia="Arial" w:hAnsi="Arial"/>
                <w:sz w:val="21"/>
              </w:rPr>
              <w:t xml:space="preserve"> T61’in bulunmadığı, kullanımının uygun olmadığı veya prospektüsünde hedef tür olarak yer almadığı sığır gibi olgularda, sorumlu veteriner hekimin klinik değerlendirmesi ve ilgili etiket dışı kullanım hükümleri çerçevesinde intravenöz propofol ile anestezik aşırı doz yöntemi alternatif olarak uygulanabilir.</w:t>
            </w:r>
          </w:p>
          <w:p w:rsidR="00F04593" w:rsidRDefault="005255B6">
            <w:pPr>
              <w:spacing w:after="20" w:line="247" w:lineRule="auto"/>
              <w:ind w:left="312"/>
              <w:jc w:val="both"/>
            </w:pPr>
            <w:r>
              <w:rPr>
                <w:rFonts w:ascii="Arial" w:eastAsia="Arial" w:hAnsi="Arial"/>
                <w:sz w:val="21"/>
              </w:rPr>
              <w:t>• İşlem öncesinde güvenli bir intravenöz damar yolu açılır; gerekli olgularda hastanın stresini azaltmak amacıyla uygun premedikasyon uygulanır.</w:t>
            </w:r>
          </w:p>
          <w:p w:rsidR="00F04593" w:rsidRDefault="005255B6">
            <w:pPr>
              <w:keepLines/>
              <w:spacing w:after="20" w:line="247" w:lineRule="auto"/>
              <w:ind w:left="312"/>
              <w:jc w:val="both"/>
            </w:pPr>
            <w:r>
              <w:rPr>
                <w:rFonts w:ascii="Arial" w:eastAsia="Arial" w:hAnsi="Arial"/>
                <w:sz w:val="21"/>
              </w:rPr>
              <w:t>• Propofol intravenöz olarak genel anestezi ve tam bilinç kaybı oluşturacak şekilde uygulanır; ardından kardiyorespiratuvar arrest gelişinceye kadar ek intravenöz propofol dozları klinik etkiye göre uygulanır. Sabit tek doz yerine hastanın türü, vücut ağırlığı, klinik durumu ve uygulamaya verdiği yanıt esas alınır.</w:t>
            </w:r>
          </w:p>
          <w:p w:rsidR="00F04593" w:rsidRDefault="005255B6">
            <w:pPr>
              <w:keepLines/>
              <w:spacing w:after="20" w:line="247" w:lineRule="auto"/>
              <w:ind w:left="312"/>
              <w:jc w:val="both"/>
            </w:pPr>
            <w:r>
              <w:rPr>
                <w:rFonts w:ascii="Arial" w:eastAsia="Arial" w:hAnsi="Arial"/>
                <w:sz w:val="21"/>
              </w:rPr>
              <w:t>• Propofol yalnızca intravenöz yolla ve veteriner hekimin doğrudan gözetiminde uygulanır. Solunumun durması tek başına ölüm olarak kabul edilmez; kardiyak arrest ve ölüm ayrıca doğrulanır. Kardiyak aktivite devam ediyorsa ek propofol dozu uygulanır ve hasta ölüm kesin olarak doğrulanıncaya kadar izlenir.</w:t>
            </w:r>
          </w:p>
          <w:p w:rsidR="00F04593" w:rsidRDefault="005255B6">
            <w:pPr>
              <w:spacing w:after="20" w:line="247" w:lineRule="auto"/>
              <w:ind w:left="312"/>
              <w:jc w:val="both"/>
            </w:pPr>
            <w:r>
              <w:rPr>
                <w:rFonts w:ascii="Arial" w:eastAsia="Arial" w:hAnsi="Arial"/>
                <w:sz w:val="21"/>
              </w:rPr>
              <w:t>• Alternatif yöntemin seçimi ve gerekçesi hasta dosyasına kaydedilir.</w:t>
            </w:r>
          </w:p>
          <w:p w:rsidR="00F04593" w:rsidRDefault="005255B6">
            <w:pPr>
              <w:keepNext/>
              <w:spacing w:before="30" w:after="30" w:line="245" w:lineRule="auto"/>
              <w:jc w:val="both"/>
            </w:pPr>
            <w:r>
              <w:rPr>
                <w:rFonts w:ascii="Arial" w:eastAsia="Arial" w:hAnsi="Arial"/>
                <w:b/>
                <w:sz w:val="21"/>
              </w:rPr>
              <w:t>9. Ölümün Doğrulanması</w:t>
            </w:r>
          </w:p>
          <w:p w:rsidR="00F04593" w:rsidRDefault="005255B6">
            <w:pPr>
              <w:spacing w:after="20" w:line="247" w:lineRule="auto"/>
              <w:ind w:left="159"/>
              <w:jc w:val="both"/>
            </w:pPr>
            <w:r>
              <w:rPr>
                <w:rFonts w:ascii="Arial" w:eastAsia="Arial" w:hAnsi="Arial"/>
                <w:sz w:val="21"/>
              </w:rPr>
              <w:t>• Uygulama sonrasında spontan solunumun, kalp seslerinin ve nabzın bulunmaması; korneal refleksin ve ağrılı uyarana yanıtın olmaması birlikte değerlendirilir.</w:t>
            </w:r>
          </w:p>
          <w:p w:rsidR="00F04593" w:rsidRDefault="005255B6">
            <w:pPr>
              <w:spacing w:after="20" w:line="247" w:lineRule="auto"/>
              <w:ind w:left="159"/>
              <w:jc w:val="both"/>
            </w:pPr>
            <w:r>
              <w:rPr>
                <w:rFonts w:ascii="Arial" w:eastAsia="Arial" w:hAnsi="Arial"/>
                <w:sz w:val="21"/>
              </w:rPr>
              <w:t>• Şüphe hâlinde EKG ile asistoli doğrulanır. Ölüm kesin olarak doğrulanmadan kadavra teslim, nekropsi veya bertaraf işlemlerine geçilmez.</w:t>
            </w:r>
          </w:p>
          <w:p w:rsidR="00F04593" w:rsidRDefault="005255B6">
            <w:pPr>
              <w:keepNext/>
              <w:spacing w:before="30" w:after="30" w:line="245" w:lineRule="auto"/>
              <w:jc w:val="both"/>
            </w:pPr>
            <w:r>
              <w:rPr>
                <w:rFonts w:ascii="Arial" w:eastAsia="Arial" w:hAnsi="Arial"/>
                <w:b/>
                <w:sz w:val="21"/>
              </w:rPr>
              <w:t>10. Kadavranın Muhafazası ve Bertarafı</w:t>
            </w:r>
          </w:p>
          <w:p w:rsidR="00F04593" w:rsidRDefault="005255B6">
            <w:pPr>
              <w:spacing w:after="20" w:line="247" w:lineRule="auto"/>
              <w:ind w:left="159"/>
              <w:jc w:val="both"/>
            </w:pPr>
            <w:r>
              <w:rPr>
                <w:rFonts w:ascii="Arial" w:eastAsia="Arial" w:hAnsi="Arial"/>
                <w:sz w:val="21"/>
              </w:rPr>
              <w:t>• T61 uygulanmış hayvanların ve ötanazi amacıyla etiket dışı ilaç uygulanmış sığırların kadavraları insan veya hayvan gıda zincirine sokulmaz; başka hayvanların kadavraya erişmesi ve tüketmesi engellenir.</w:t>
            </w:r>
          </w:p>
          <w:p w:rsidR="00F04593" w:rsidRDefault="005255B6" w:rsidP="005255B6">
            <w:pPr>
              <w:spacing w:after="20" w:line="247" w:lineRule="auto"/>
              <w:ind w:left="159"/>
              <w:jc w:val="both"/>
            </w:pPr>
            <w:r>
              <w:rPr>
                <w:rFonts w:ascii="Arial" w:eastAsia="Arial" w:hAnsi="Arial"/>
                <w:sz w:val="21"/>
              </w:rPr>
              <w:t>• Kadavra, gerekli kimliklendirme/etiketleme yapıldıktan sonra MAKÜ.HH.10 Ex Hasta Prosedürü ve hastanenin biyogüvenlik/atık yönetimi uygulamalarına uygun olarak geçici muhafaza alanına alınır ve yetkili yöntemle bertaraf edilir.</w:t>
            </w:r>
          </w:p>
        </w:tc>
      </w:tr>
    </w:tbl>
    <w:p w:rsidR="00611B66" w:rsidRDefault="00611B66" w:rsidP="000B1A7B">
      <w:pPr>
        <w:ind w:right="-1" w:hanging="1"/>
        <w:rPr>
          <w:rFonts w:ascii="Arial" w:hAnsi="Arial" w:cs="Arial"/>
        </w:rPr>
      </w:pPr>
    </w:p>
    <w:tbl>
      <w:tblPr>
        <w:tblStyle w:val="TabloKlavuzu"/>
        <w:tblW w:w="0" w:type="auto"/>
        <w:tblLook w:val="04A0" w:firstRow="1" w:lastRow="0" w:firstColumn="1" w:lastColumn="0" w:noHBand="0" w:noVBand="1"/>
      </w:tblPr>
      <w:tblGrid>
        <w:gridCol w:w="3250"/>
        <w:gridCol w:w="3250"/>
        <w:gridCol w:w="3691"/>
      </w:tblGrid>
      <w:tr w:rsidR="000A74A7" w:rsidTr="005255B6">
        <w:trPr>
          <w:cantSplit/>
        </w:trPr>
        <w:tc>
          <w:tcPr>
            <w:tcW w:w="3250" w:type="dxa"/>
            <w:vAlign w:val="center"/>
          </w:tcPr>
          <w:p w:rsidR="000A74A7" w:rsidRPr="005B637C" w:rsidRDefault="000A74A7" w:rsidP="004377FE">
            <w:pPr>
              <w:jc w:val="center"/>
              <w:rPr>
                <w:rFonts w:ascii="Arial" w:hAnsi="Arial" w:cs="Arial"/>
                <w:b/>
              </w:rPr>
            </w:pPr>
            <w:r w:rsidRPr="005B637C">
              <w:rPr>
                <w:rFonts w:ascii="Arial" w:eastAsia="Arial" w:hAnsi="Arial" w:cs="Arial"/>
                <w:b/>
                <w:sz w:val="19"/>
              </w:rPr>
              <w:t>Birim Kalite Komisyonu Başkanı</w:t>
            </w:r>
          </w:p>
        </w:tc>
        <w:tc>
          <w:tcPr>
            <w:tcW w:w="3250" w:type="dxa"/>
            <w:vAlign w:val="center"/>
          </w:tcPr>
          <w:p w:rsidR="000A74A7" w:rsidRPr="005B637C" w:rsidRDefault="000A74A7" w:rsidP="004377FE">
            <w:pPr>
              <w:ind w:hanging="1"/>
              <w:jc w:val="center"/>
              <w:rPr>
                <w:rFonts w:ascii="Arial" w:hAnsi="Arial" w:cs="Arial"/>
                <w:b/>
              </w:rPr>
            </w:pPr>
            <w:r w:rsidRPr="005B637C">
              <w:rPr>
                <w:rFonts w:ascii="Arial" w:eastAsia="Arial" w:hAnsi="Arial" w:cs="Arial"/>
                <w:b/>
                <w:sz w:val="19"/>
              </w:rPr>
              <w:t>Klinik Bilimler Bölüm Başkanı</w:t>
            </w:r>
          </w:p>
        </w:tc>
        <w:tc>
          <w:tcPr>
            <w:tcW w:w="3691" w:type="dxa"/>
            <w:vAlign w:val="center"/>
          </w:tcPr>
          <w:p w:rsidR="000A74A7" w:rsidRPr="005B637C" w:rsidRDefault="000A74A7" w:rsidP="004377FE">
            <w:pPr>
              <w:ind w:hanging="1"/>
              <w:jc w:val="center"/>
              <w:rPr>
                <w:rFonts w:ascii="Arial" w:hAnsi="Arial" w:cs="Arial"/>
                <w:b/>
              </w:rPr>
            </w:pPr>
            <w:r w:rsidRPr="005B637C">
              <w:rPr>
                <w:rFonts w:ascii="Arial" w:eastAsia="Arial" w:hAnsi="Arial" w:cs="Arial"/>
                <w:b/>
                <w:sz w:val="19"/>
              </w:rPr>
              <w:t>Veteriner Fakültesi Dekanı</w:t>
            </w:r>
          </w:p>
        </w:tc>
      </w:tr>
      <w:tr w:rsidR="000A74A7" w:rsidTr="005255B6">
        <w:trPr>
          <w:cantSplit/>
          <w:trHeight w:val="1059"/>
        </w:trPr>
        <w:tc>
          <w:tcPr>
            <w:tcW w:w="3250" w:type="dxa"/>
            <w:vAlign w:val="center"/>
          </w:tcPr>
          <w:p w:rsidR="000A74A7" w:rsidRPr="0099577A" w:rsidRDefault="00135034" w:rsidP="0099577A">
            <w:pPr>
              <w:ind w:hanging="1"/>
              <w:jc w:val="center"/>
              <w:rPr>
                <w:rFonts w:ascii="Arial" w:hAnsi="Arial" w:cs="Arial"/>
                <w:b/>
                <w:sz w:val="20"/>
                <w:szCs w:val="20"/>
              </w:rPr>
            </w:pPr>
            <w:r>
              <w:rPr>
                <w:rFonts w:ascii="Arial" w:eastAsia="Arial" w:hAnsi="Arial" w:cs="Arial"/>
                <w:b/>
                <w:sz w:val="19"/>
                <w:szCs w:val="20"/>
              </w:rPr>
              <w:t>Prof</w:t>
            </w:r>
            <w:r w:rsidR="00766341">
              <w:rPr>
                <w:rFonts w:ascii="Arial" w:eastAsia="Arial" w:hAnsi="Arial" w:cs="Arial"/>
                <w:b/>
                <w:sz w:val="19"/>
                <w:szCs w:val="20"/>
              </w:rPr>
              <w:t>. Dr. Burcu M. BALKAN</w:t>
            </w:r>
          </w:p>
        </w:tc>
        <w:tc>
          <w:tcPr>
            <w:tcW w:w="3250" w:type="dxa"/>
            <w:vAlign w:val="center"/>
          </w:tcPr>
          <w:p w:rsidR="000A74A7" w:rsidRPr="0099577A" w:rsidRDefault="00766341" w:rsidP="0099577A">
            <w:pPr>
              <w:ind w:hanging="1"/>
              <w:jc w:val="center"/>
              <w:rPr>
                <w:rFonts w:ascii="Arial" w:hAnsi="Arial" w:cs="Arial"/>
                <w:b/>
                <w:sz w:val="20"/>
                <w:szCs w:val="20"/>
              </w:rPr>
            </w:pPr>
            <w:r>
              <w:rPr>
                <w:rFonts w:ascii="Arial" w:eastAsia="Arial" w:hAnsi="Arial" w:cs="Arial"/>
                <w:b/>
                <w:sz w:val="19"/>
                <w:szCs w:val="20"/>
              </w:rPr>
              <w:t>Prof. Dr. A. Reha AĞAOĞLU</w:t>
            </w:r>
          </w:p>
        </w:tc>
        <w:tc>
          <w:tcPr>
            <w:tcW w:w="3691" w:type="dxa"/>
            <w:vAlign w:val="center"/>
          </w:tcPr>
          <w:p w:rsidR="000A74A7" w:rsidRPr="0099577A" w:rsidRDefault="00766341" w:rsidP="0099577A">
            <w:pPr>
              <w:ind w:hanging="1"/>
              <w:jc w:val="center"/>
              <w:rPr>
                <w:rFonts w:ascii="Arial" w:hAnsi="Arial" w:cs="Arial"/>
                <w:b/>
                <w:sz w:val="20"/>
                <w:szCs w:val="20"/>
              </w:rPr>
            </w:pPr>
            <w:r>
              <w:rPr>
                <w:rFonts w:ascii="Arial" w:eastAsia="Arial" w:hAnsi="Arial" w:cs="Arial"/>
                <w:b/>
                <w:sz w:val="19"/>
                <w:szCs w:val="20"/>
              </w:rPr>
              <w:t>Prof. Dr. M. Çağrı KARAKURUM</w:t>
            </w:r>
          </w:p>
        </w:tc>
      </w:tr>
    </w:tbl>
    <w:p w:rsidR="004245C4" w:rsidRPr="004248FD" w:rsidRDefault="004245C4" w:rsidP="000B1A7B">
      <w:pPr>
        <w:rPr>
          <w:rFonts w:ascii="Arial" w:hAnsi="Arial" w:cs="Arial"/>
        </w:rPr>
      </w:pPr>
    </w:p>
    <w:sectPr w:rsidR="004245C4" w:rsidRPr="004248FD" w:rsidSect="000B1A7B">
      <w:pgSz w:w="11900" w:h="16840"/>
      <w:pgMar w:top="737" w:right="794" w:bottom="737" w:left="79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
    <w:altName w:val="Times New Roman"/>
    <w:panose1 w:val="02020603050405020304"/>
    <w:charset w:val="00"/>
    <w:family w:val="roman"/>
    <w:pitch w:val="variable"/>
    <w:sig w:usb0="E0002AEF" w:usb1="C0007841"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826428"/>
    <w:multiLevelType w:val="hybridMultilevel"/>
    <w:tmpl w:val="CA28EE70"/>
    <w:lvl w:ilvl="0" w:tplc="F98E4822">
      <w:start w:val="4"/>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5C5C75C3"/>
    <w:multiLevelType w:val="hybridMultilevel"/>
    <w:tmpl w:val="D83E5072"/>
    <w:lvl w:ilvl="0" w:tplc="714E49A0">
      <w:start w:val="4"/>
      <w:numFmt w:val="bullet"/>
      <w:lvlText w:val="-"/>
      <w:lvlJc w:val="left"/>
      <w:pPr>
        <w:ind w:left="720" w:hanging="360"/>
      </w:pPr>
      <w:rPr>
        <w:rFonts w:ascii="Arial" w:eastAsiaTheme="minorHAnsi"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7D266FB0"/>
    <w:multiLevelType w:val="hybridMultilevel"/>
    <w:tmpl w:val="E222D5B6"/>
    <w:lvl w:ilvl="0" w:tplc="041F000F">
      <w:start w:val="1"/>
      <w:numFmt w:val="decimal"/>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B66"/>
    <w:rsid w:val="000A74A7"/>
    <w:rsid w:val="000B1A7B"/>
    <w:rsid w:val="00116165"/>
    <w:rsid w:val="0012645B"/>
    <w:rsid w:val="00135034"/>
    <w:rsid w:val="0016462F"/>
    <w:rsid w:val="00190700"/>
    <w:rsid w:val="001A5C26"/>
    <w:rsid w:val="001C6E2D"/>
    <w:rsid w:val="001D2DB0"/>
    <w:rsid w:val="00211197"/>
    <w:rsid w:val="0022576E"/>
    <w:rsid w:val="00424511"/>
    <w:rsid w:val="004245C4"/>
    <w:rsid w:val="004248FD"/>
    <w:rsid w:val="004A31CD"/>
    <w:rsid w:val="004D1279"/>
    <w:rsid w:val="004D5CAF"/>
    <w:rsid w:val="004F19AC"/>
    <w:rsid w:val="004F4240"/>
    <w:rsid w:val="005255B6"/>
    <w:rsid w:val="005C6502"/>
    <w:rsid w:val="00611B66"/>
    <w:rsid w:val="0062170C"/>
    <w:rsid w:val="006C6ED9"/>
    <w:rsid w:val="007131A3"/>
    <w:rsid w:val="00737ACD"/>
    <w:rsid w:val="00753FDF"/>
    <w:rsid w:val="00766341"/>
    <w:rsid w:val="007941C4"/>
    <w:rsid w:val="007C0159"/>
    <w:rsid w:val="007D13CB"/>
    <w:rsid w:val="00875C83"/>
    <w:rsid w:val="00877600"/>
    <w:rsid w:val="00921D28"/>
    <w:rsid w:val="00931EA7"/>
    <w:rsid w:val="00985D03"/>
    <w:rsid w:val="0099577A"/>
    <w:rsid w:val="009A00B2"/>
    <w:rsid w:val="00A544DA"/>
    <w:rsid w:val="00AF2AB8"/>
    <w:rsid w:val="00B03B06"/>
    <w:rsid w:val="00B63889"/>
    <w:rsid w:val="00B70157"/>
    <w:rsid w:val="00B73DA6"/>
    <w:rsid w:val="00C53672"/>
    <w:rsid w:val="00CA61A5"/>
    <w:rsid w:val="00CD7348"/>
    <w:rsid w:val="00D35C0E"/>
    <w:rsid w:val="00D76FB6"/>
    <w:rsid w:val="00DF7104"/>
    <w:rsid w:val="00E505A6"/>
    <w:rsid w:val="00E77752"/>
    <w:rsid w:val="00E90C83"/>
    <w:rsid w:val="00E95D1C"/>
    <w:rsid w:val="00EC561F"/>
    <w:rsid w:val="00F04593"/>
    <w:rsid w:val="00F21570"/>
    <w:rsid w:val="00F35C05"/>
    <w:rsid w:val="00F46EF7"/>
    <w:rsid w:val="00F81718"/>
    <w:rsid w:val="00F81E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efaultImageDpi w14:val="32767"/>
  <w15:chartTrackingRefBased/>
  <w15:docId w15:val="{894220EA-D9CC-294C-AF5D-F9DC89FF4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611B66"/>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paragraph" w:styleId="ListeParagraf">
    <w:name w:val="List Paragraph"/>
    <w:basedOn w:val="Normal"/>
    <w:uiPriority w:val="34"/>
    <w:qFormat/>
    <w:rsid w:val="00F81EC6"/>
    <w:pPr>
      <w:ind w:left="720"/>
      <w:contextualSpacing/>
    </w:pPr>
    <w:rPr>
      <w:rFonts w:ascii="Times" w:eastAsia="Times New Roman" w:hAnsi="Times" w:cs="Times New Roman"/>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is">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s">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962</Words>
  <Characters>5526</Characters>
  <Application>Microsoft Office Word</Application>
  <DocSecurity>0</DocSecurity>
  <Lines>72</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Endoskopi Cihazının Cidex OPA ile Temizlik ve Dezenfeksiyon Talimatı</dc:title>
  <dc:subject>MAKÜ.HH.49</dc:subject>
  <dc:creator>author</dc:creator>
  <cp:keywords/>
  <dc:description/>
  <cp:lastModifiedBy>author</cp:lastModifiedBy>
  <cp:revision>2</cp:revision>
  <cp:lastPrinted>2020-02-24T06:58:00Z</cp:lastPrinted>
  <dcterms:created xsi:type="dcterms:W3CDTF">2026-09-16T10:19:00Z</dcterms:created>
  <dcterms:modified xsi:type="dcterms:W3CDTF">2026-09-16T10:19:00Z</dcterms:modified>
</cp:coreProperties>
</file>