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94"/>
        <w:gridCol w:w="4252"/>
        <w:gridCol w:w="3260"/>
      </w:tblGrid>
      <w:tr w:rsidR="00EC561F" w:rsidRPr="004248FD" w:rsidTr="000B1A7B">
        <w:tc>
          <w:tcPr>
            <w:tcW w:w="2694" w:type="dxa"/>
            <w:vAlign w:val="center"/>
          </w:tcPr>
          <w:p w:rsidR="00611B66" w:rsidRPr="004248FD" w:rsidRDefault="00135034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/>
                <w:b/>
                <w:noProof/>
                <w:sz w:val="18"/>
              </w:rPr>
              <w:drawing>
                <wp:inline distT="0" distB="0" distL="0" distR="0" wp14:anchorId="70529A8A" wp14:editId="2BFF9625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9547A8" w:rsidRDefault="0017108A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AĞRI YÖNETİMİ</w:t>
            </w:r>
            <w:r>
              <w:rPr>
                <w:rFonts w:ascii="Arial" w:hAnsi="Arial"/>
                <w:b/>
                <w:sz w:val="18"/>
              </w:rPr>
              <w:br/>
              <w:t>PROSEDÜRÜ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</w:p>
        </w:tc>
      </w:tr>
      <w:tr w:rsidR="00EC561F" w:rsidRPr="004248FD" w:rsidTr="000B1A7B">
        <w:tc>
          <w:tcPr>
            <w:tcW w:w="2694" w:type="dxa"/>
            <w:vAlign w:val="center"/>
          </w:tcPr>
          <w:p w:rsidR="009547A8" w:rsidRDefault="0017108A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YAYIN TARİHİ:17.09.2026</w:t>
            </w:r>
          </w:p>
        </w:tc>
        <w:tc>
          <w:tcPr>
            <w:tcW w:w="4252" w:type="dxa"/>
            <w:vAlign w:val="center"/>
          </w:tcPr>
          <w:p w:rsidR="009547A8" w:rsidRDefault="0017108A" w:rsidP="0017108A">
            <w:r>
              <w:rPr>
                <w:rFonts w:ascii="Arial" w:hAnsi="Arial"/>
                <w:b/>
                <w:sz w:val="18"/>
              </w:rPr>
              <w:t xml:space="preserve">GÜNCELLEME TARİHİ: </w:t>
            </w:r>
          </w:p>
        </w:tc>
        <w:tc>
          <w:tcPr>
            <w:tcW w:w="3260" w:type="dxa"/>
            <w:vAlign w:val="center"/>
          </w:tcPr>
          <w:p w:rsidR="009547A8" w:rsidRDefault="0017108A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BELGE NO: MAKÜ.HH.57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91"/>
      </w:tblGrid>
      <w:tr w:rsidR="00611B66" w:rsidRPr="004248FD" w:rsidTr="000B1A7B">
        <w:tc>
          <w:tcPr>
            <w:tcW w:w="10191" w:type="dxa"/>
            <w:tcMar>
              <w:top w:w="110" w:type="dxa"/>
              <w:left w:w="115" w:type="dxa"/>
              <w:bottom w:w="110" w:type="dxa"/>
              <w:right w:w="115" w:type="dxa"/>
            </w:tcMar>
          </w:tcPr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1. Amaç:</w:t>
            </w:r>
            <w:r>
              <w:rPr>
                <w:rFonts w:ascii="Arial" w:hAnsi="Arial"/>
                <w:sz w:val="21"/>
              </w:rPr>
              <w:t xml:space="preserve"> MAKÜVET Hayvan Hastanesinde akut, perioperatif ve kronik ağrının sistematik olarak değerlendirilmesini; ağrının mümkün olduğunca oluşmadan önce önlenmesini; Türkiye’de veteriner tıbbi ürün olarak ruhsatlı ve temin edilebilen analjezik, non-steroid antienf</w:t>
            </w:r>
            <w:r>
              <w:rPr>
                <w:rFonts w:ascii="Arial" w:hAnsi="Arial"/>
                <w:sz w:val="21"/>
              </w:rPr>
              <w:t>lamatuvar ve lokal anesteziklerin güvenli, etkili ve izlenebilir biçimde kullanılmasını sağlamaktır.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2. Kapsam:</w:t>
            </w:r>
            <w:r>
              <w:rPr>
                <w:rFonts w:ascii="Arial" w:hAnsi="Arial"/>
                <w:sz w:val="21"/>
              </w:rPr>
              <w:t xml:space="preserve"> Bu prosedür MAKÜVET Hayvan Hastanesine getirilen kedi, köpek, at ve sığırlar başta olmak üzere ağrılı hastaların muayene, tedavi, cerrahi, hospi</w:t>
            </w:r>
            <w:r>
              <w:rPr>
                <w:rFonts w:ascii="Arial" w:hAnsi="Arial"/>
                <w:sz w:val="21"/>
              </w:rPr>
              <w:t>talizasyon ve taburculuk süreçlerinde ağrının değerlendirilmesi, analjezik planın oluşturulması, ilaç uygulaması, yeniden değerlendirme ve kayıt işlemlerini kapsar. Gıda değeri olan hayvanlarda yalnız hedef tür ve endikasyon için ruhsatlı ürünler kullanılı</w:t>
            </w:r>
            <w:r>
              <w:rPr>
                <w:rFonts w:ascii="Arial" w:hAnsi="Arial"/>
                <w:sz w:val="21"/>
              </w:rPr>
              <w:t>r ve kalıntı arınma sürelerine uyulur.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3. İlişkili Belgeler ve Dayanak:</w:t>
            </w:r>
            <w:r>
              <w:rPr>
                <w:rFonts w:ascii="Arial" w:hAnsi="Arial"/>
                <w:sz w:val="21"/>
              </w:rPr>
              <w:t xml:space="preserve"> Veteriner Tıbbi Ürünler Hakkında Yönetmelik; ilgili ürünlerin güncel Türkiye prospektüsleri/ürün özellikleri özeti; MAKÜVET Hayvan Hastanesi </w:t>
            </w:r>
            <w:proofErr w:type="spellStart"/>
            <w:r>
              <w:rPr>
                <w:rFonts w:ascii="Arial" w:hAnsi="Arial"/>
                <w:sz w:val="21"/>
              </w:rPr>
              <w:t>Biyogüvenlik</w:t>
            </w:r>
            <w:proofErr w:type="spellEnd"/>
            <w:r>
              <w:rPr>
                <w:rFonts w:ascii="Arial" w:hAnsi="Arial"/>
                <w:sz w:val="21"/>
              </w:rPr>
              <w:t xml:space="preserve"> Kılavuzu </w:t>
            </w:r>
            <w:r>
              <w:rPr>
                <w:rFonts w:ascii="Arial" w:hAnsi="Arial"/>
                <w:sz w:val="21"/>
              </w:rPr>
              <w:t>ve güncel uluslararası veteriner ağrı yönetimi ilkeleridir.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4. Sorumlular:</w:t>
            </w:r>
            <w:r>
              <w:rPr>
                <w:rFonts w:ascii="Arial" w:hAnsi="Arial"/>
                <w:sz w:val="21"/>
              </w:rPr>
              <w:t xml:space="preserve"> Hastayı muayene eden ve ağrı tedavi planını oluşturan veteriner hekim; cerrahi/anestezi ekibi; hospitalizasyon sorumlusu ve nöbetçi veteriner hekimlerdir. İlaç seçimi</w:t>
            </w:r>
            <w:r>
              <w:rPr>
                <w:rFonts w:ascii="Arial" w:hAnsi="Arial"/>
                <w:sz w:val="21"/>
              </w:rPr>
              <w:t>, doz, uygulama yolu, uygulama aralığı ve gerektiğinde tedavi değişikliği sorumlu veteriner hekim tarafından belirlenir ve hasta kaydına işlenir.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5. Ağrının Değerlendirilmesi ve Yeniden Değerlendirme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 xml:space="preserve">• Ağrı; ilk muayenede, ağrılı bir işlem veya cerrahi </w:t>
            </w:r>
            <w:r>
              <w:rPr>
                <w:rFonts w:ascii="Arial" w:hAnsi="Arial"/>
                <w:sz w:val="21"/>
              </w:rPr>
              <w:t>öncesinde, analjezik uygulamadan sonra, hospitalizasyon süresince klinik durumda değişiklik olduğunda ve taburculuk öncesinde değerlendirilir.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Değerlendirmede türün davranış özellikleri dikkate alınır. Köpeklerde Glasgow Composite Measure Pain Scale–Shor</w:t>
            </w:r>
            <w:r>
              <w:rPr>
                <w:rFonts w:ascii="Arial" w:hAnsi="Arial"/>
                <w:sz w:val="21"/>
              </w:rPr>
              <w:t>t Form, kedilerde Feline Grimace Scale gibi doğrulanmış ölçeklerden yararlanılabilir; at ve sığırlarda postür, hareket, yüz ifadesi, iştah, çevreyle etkileşim, ağrılı bölgenin korunması ve fizyolojik bulgular birlikte değerlendirilir.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Analjezik uygulamas</w:t>
            </w:r>
            <w:r>
              <w:rPr>
                <w:rFonts w:ascii="Arial" w:hAnsi="Arial"/>
                <w:sz w:val="21"/>
              </w:rPr>
              <w:t>ından sonra ağrı azalmıyorsa veya tekrar artıyorsa hasta yeniden muayene edilir; doz dışına çıkmak yerine ağrının nedeni ve tedavi planı gözden geçirilir ve gerektiğinde farklı etki mekanizmasına sahip ek bir analjezik yöntem uygulanır.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6. Temel Ağrı Yönet</w:t>
            </w:r>
            <w:r>
              <w:rPr>
                <w:rFonts w:ascii="Arial" w:hAnsi="Arial"/>
                <w:b/>
                <w:sz w:val="21"/>
              </w:rPr>
              <w:t>imi İlkeleri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Mümkün olan durumlarda preemptif/preventif analjezi uygulanır; ağrılı cerrahi ve girişimlerde analjezik tedavi doku hasarı oluşmadan önce başlatılır.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Multimodal analjezi esastır. Opioid analjezik, NSAİİ ve lokal/bölgesel anestezi gibi fark</w:t>
            </w:r>
            <w:r>
              <w:rPr>
                <w:rFonts w:ascii="Arial" w:hAnsi="Arial"/>
                <w:sz w:val="21"/>
              </w:rPr>
              <w:t>lı etki mekanizmaları uygun hastalarda birlikte kullanılarak tek bir ilacın yüksek dozuna olan ihtiyaç azaltılır.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İlaç seçimi; tür, yaş, vücut ağırlığı, ağrının şiddeti ve kaynağı, hidrasyon/perfüzyon durumu, böbrek-karaciğer fonksiyonu, gastrointestinal</w:t>
            </w:r>
            <w:r>
              <w:rPr>
                <w:rFonts w:ascii="Arial" w:hAnsi="Arial"/>
                <w:sz w:val="21"/>
              </w:rPr>
              <w:t xml:space="preserve"> hastalık, gebelik/laktasyon ve eş zamanlı ilaçlar dikkate alınarak yapılır.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Aynı anda iki farklı NSAİİ kullanılmaz; NSAİİ ile glukokortikoid birlikte uygulanmaz. NSAİİ değişiminde ilgili ürün özellikleri dikkate alınarak uygun ilaçsız geçiş süresi bırak</w:t>
            </w:r>
            <w:r>
              <w:rPr>
                <w:rFonts w:ascii="Arial" w:hAnsi="Arial"/>
                <w:sz w:val="21"/>
              </w:rPr>
              <w:t>ılır.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Gıda değeri olan hayvanlarda ürünün hedef tür, endikasyon, uygulama yolu ve kalıntı arınma süreleri mutlaka kontrol edilir.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 xml:space="preserve">7. </w:t>
            </w:r>
            <w:r>
              <w:rPr>
                <w:rFonts w:ascii="Arial" w:hAnsi="Arial"/>
                <w:b/>
                <w:sz w:val="21"/>
              </w:rPr>
              <w:t>Farmakolojik Seçenekler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7.1. NALGOSED 10 mg/ml (Butorfanol) - Opioid Analjezik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 xml:space="preserve">• </w:t>
            </w:r>
            <w:r>
              <w:rPr>
                <w:rFonts w:ascii="Arial" w:hAnsi="Arial"/>
                <w:sz w:val="21"/>
              </w:rPr>
              <w:t>NALGOSED; Türkiye’de ruhsatlı, 10 mg/ml butorfanol içeren merkezi etkili opioid analjeziktir. At, köpek ve kedilerde kullanılır; gıda değeri olan hayvanlarda kullanılmaz.</w:t>
            </w: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34"/>
              <w:gridCol w:w="1304"/>
              <w:gridCol w:w="1757"/>
            </w:tblGrid>
            <w:tr w:rsidR="009547A8">
              <w:trPr>
                <w:cantSplit/>
                <w:tblHeader/>
                <w:jc w:val="center"/>
              </w:trPr>
              <w:tc>
                <w:tcPr>
                  <w:tcW w:w="1134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Tür / kullanım</w:t>
                  </w:r>
                </w:p>
              </w:tc>
              <w:tc>
                <w:tcPr>
                  <w:tcW w:w="1304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Doz ve uygulama</w:t>
                  </w:r>
                </w:p>
              </w:tc>
              <w:tc>
                <w:tcPr>
                  <w:tcW w:w="1757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Uygulama notu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At - analjezi</w:t>
                  </w:r>
                </w:p>
              </w:tc>
              <w:tc>
                <w:tcPr>
                  <w:tcW w:w="130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0,1 mg/kg IV (0,01 ml/kg;</w:t>
                  </w:r>
                  <w:r>
                    <w:rPr>
                      <w:rFonts w:ascii="Arial" w:hAnsi="Arial"/>
                      <w:sz w:val="17"/>
                    </w:rPr>
                    <w:t xml:space="preserve"> 1 ml/100 kg)</w:t>
                  </w:r>
                </w:p>
              </w:tc>
              <w:tc>
                <w:tcPr>
                  <w:tcW w:w="175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Özellikle gastrointestinal kaynaklı orta-şiddetli abdominal ağrıda; gerekirse prospektüse göre tekrarlanabilir.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lastRenderedPageBreak/>
                    <w:t>Köpek - analjezi</w:t>
                  </w:r>
                </w:p>
              </w:tc>
              <w:tc>
                <w:tcPr>
                  <w:tcW w:w="130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0,2-0,3 mg/kg IV/IM/SC (0,02-0,03 ml/kg)</w:t>
                  </w:r>
                </w:p>
              </w:tc>
              <w:tc>
                <w:tcPr>
                  <w:tcW w:w="175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Orta-şiddetli postoperatif ağrı. Etki kısa süreli olabileceğinden yenid</w:t>
                  </w:r>
                  <w:r>
                    <w:rPr>
                      <w:rFonts w:ascii="Arial" w:hAnsi="Arial"/>
                      <w:sz w:val="17"/>
                    </w:rPr>
                    <w:t>en değerlendirme gerekir.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Kedi - preoperatif</w:t>
                  </w:r>
                </w:p>
              </w:tc>
              <w:tc>
                <w:tcPr>
                  <w:tcW w:w="130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0,4 mg/kg IM/SC (0,04 ml/kg)</w:t>
                  </w:r>
                </w:p>
              </w:tc>
              <w:tc>
                <w:tcPr>
                  <w:tcW w:w="175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İndüksiyondan önce prospektüste belirtilen zamanlamaya göre uygulanır.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Kedi - postoperatif</w:t>
                  </w:r>
                </w:p>
              </w:tc>
              <w:tc>
                <w:tcPr>
                  <w:tcW w:w="130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0,4 mg/kg IM/SC veya 0,1 mg/kg IV</w:t>
                  </w:r>
                </w:p>
              </w:tc>
              <w:tc>
                <w:tcPr>
                  <w:tcW w:w="175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Uyanmadan yaklaşık 15 dakika önce uygulanabilir; klinik</w:t>
                  </w:r>
                  <w:r>
                    <w:rPr>
                      <w:rFonts w:ascii="Arial" w:hAnsi="Arial"/>
                      <w:sz w:val="17"/>
                    </w:rPr>
                    <w:t xml:space="preserve"> yanıt izlenir.</w:t>
                  </w:r>
                </w:p>
              </w:tc>
            </w:tr>
          </w:tbl>
          <w:p w:rsidR="009547A8" w:rsidRDefault="009547A8"/>
          <w:p w:rsidR="009547A8" w:rsidRDefault="009547A8">
            <w:pPr>
              <w:spacing w:after="20" w:line="247" w:lineRule="auto"/>
              <w:jc w:val="both"/>
            </w:pP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Butorfanol solunum ve kardiyovasküler depresyona neden olabilir. Solunum hastalığı, ciddi sistemik hastalık ve diğer santral sinir sistemi depresanları ile birlikte kullanımda hasta yakından izlenir. Doz aşımında opioid antagonisti ola</w:t>
            </w:r>
            <w:r>
              <w:rPr>
                <w:rFonts w:ascii="Arial" w:hAnsi="Arial"/>
                <w:sz w:val="21"/>
              </w:rPr>
              <w:t>rak nalokson kullanılabilir.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7.2. Non-steroid Antienflamatuvar İlaçlar (NSAİİ)</w:t>
            </w: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34"/>
              <w:gridCol w:w="624"/>
              <w:gridCol w:w="1701"/>
              <w:gridCol w:w="1913"/>
            </w:tblGrid>
            <w:tr w:rsidR="009547A8">
              <w:trPr>
                <w:cantSplit/>
                <w:tblHeader/>
                <w:jc w:val="center"/>
              </w:trPr>
              <w:tc>
                <w:tcPr>
                  <w:tcW w:w="1134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6"/>
                    </w:rPr>
                    <w:t>Ürün / etken madde</w:t>
                  </w:r>
                </w:p>
              </w:tc>
              <w:tc>
                <w:tcPr>
                  <w:tcW w:w="624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6"/>
                    </w:rPr>
                    <w:t>Hedef tür</w:t>
                  </w:r>
                </w:p>
              </w:tc>
              <w:tc>
                <w:tcPr>
                  <w:tcW w:w="1701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6"/>
                    </w:rPr>
                    <w:t>Prospektüse göre temel analjezik kullanım</w:t>
                  </w:r>
                </w:p>
              </w:tc>
              <w:tc>
                <w:tcPr>
                  <w:tcW w:w="964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6"/>
                    </w:rPr>
                    <w:t>Önemli not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Maxicam 5 mg/ml - Meloksikam</w:t>
                  </w:r>
                </w:p>
              </w:tc>
              <w:tc>
                <w:tcPr>
                  <w:tcW w:w="62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Köpek</w:t>
                  </w:r>
                </w:p>
              </w:tc>
              <w:tc>
                <w:tcPr>
                  <w:tcW w:w="170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 xml:space="preserve">0,2 mg/kg SC tek doz; postoperatif kullanımda 0,2 mg/kg IV </w:t>
                  </w:r>
                  <w:r>
                    <w:rPr>
                      <w:rFonts w:ascii="Arial" w:hAnsi="Arial"/>
                      <w:sz w:val="16"/>
                    </w:rPr>
                    <w:t>veya SC, cerrahi öncesi/indüksiyon sırasında.</w:t>
                  </w:r>
                </w:p>
              </w:tc>
              <w:tc>
                <w:tcPr>
                  <w:tcW w:w="96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Akut/kronik kas-iskelet ağrısı ve postoperatif ağrı için ruhsatlı.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Maxicam 5 mg/ml - Meloksikam</w:t>
                  </w:r>
                </w:p>
              </w:tc>
              <w:tc>
                <w:tcPr>
                  <w:tcW w:w="62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Kedi</w:t>
                  </w:r>
                </w:p>
              </w:tc>
              <w:tc>
                <w:tcPr>
                  <w:tcW w:w="170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0,3 mg/kg SC tek doz, cerrahi öncesi/indüksiyon sırasında.</w:t>
                  </w:r>
                </w:p>
              </w:tc>
              <w:tc>
                <w:tcPr>
                  <w:tcW w:w="96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Kedide ürün prospektüsü dışına çıkılarak oral dev</w:t>
                  </w:r>
                  <w:r>
                    <w:rPr>
                      <w:rFonts w:ascii="Arial" w:hAnsi="Arial"/>
                      <w:sz w:val="16"/>
                    </w:rPr>
                    <w:t>am tedavisi yapılmaz.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Maxicam 5 mg/ml - Meloksikam</w:t>
                  </w:r>
                </w:p>
              </w:tc>
              <w:tc>
                <w:tcPr>
                  <w:tcW w:w="62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Sığır</w:t>
                  </w:r>
                </w:p>
              </w:tc>
              <w:tc>
                <w:tcPr>
                  <w:tcW w:w="170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0,5 mg/kg SC veya IV tek doz, ruhsatlı endikasyonlarda.</w:t>
                  </w:r>
                </w:p>
              </w:tc>
              <w:tc>
                <w:tcPr>
                  <w:tcW w:w="96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 xml:space="preserve">Buzağı boynuz operasyonunda tek başına yeterli intraoperatif analjezi sağlamaz; uygun lokal/ek analjezi gerekir. Et: 15 gün; süt: 5 gün/10 </w:t>
                  </w:r>
                  <w:r>
                    <w:rPr>
                      <w:rFonts w:ascii="Arial" w:hAnsi="Arial"/>
                      <w:sz w:val="16"/>
                    </w:rPr>
                    <w:t>sağım.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Ketofen - Ketoprofen</w:t>
                  </w:r>
                </w:p>
              </w:tc>
              <w:tc>
                <w:tcPr>
                  <w:tcW w:w="62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At / Sığır</w:t>
                  </w:r>
                </w:p>
              </w:tc>
              <w:tc>
                <w:tcPr>
                  <w:tcW w:w="170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3 ml/100 kg/gün IV veya IM; 3 güne kadar.</w:t>
                  </w:r>
                </w:p>
              </w:tc>
              <w:tc>
                <w:tcPr>
                  <w:tcW w:w="96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Ürün prospektüsündeki hedef tür/endikasyon esas alınır. Sığırda et: 4 gün; süt: 0 gün.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Fundamin 50 mg/ml - Fluniksin</w:t>
                  </w:r>
                </w:p>
              </w:tc>
              <w:tc>
                <w:tcPr>
                  <w:tcW w:w="62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At</w:t>
                  </w:r>
                </w:p>
              </w:tc>
              <w:tc>
                <w:tcPr>
                  <w:tcW w:w="170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1 mg/kg IV (1 ml/50 kg) günde 1; kas-iskelet ağrısınd</w:t>
                  </w:r>
                  <w:r>
                    <w:rPr>
                      <w:rFonts w:ascii="Arial" w:hAnsi="Arial"/>
                      <w:sz w:val="16"/>
                    </w:rPr>
                    <w:t>a 1-5 gün. Kolikte gerektiğinde ikinci uygulama yapılabilir.</w:t>
                  </w:r>
                </w:p>
              </w:tc>
              <w:tc>
                <w:tcPr>
                  <w:tcW w:w="96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Özellikle kolik ve kas-iskelet ağrısı/enflamasyonunda.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Fundamin 50 mg/ml - Fluniksin</w:t>
                  </w:r>
                </w:p>
              </w:tc>
              <w:tc>
                <w:tcPr>
                  <w:tcW w:w="62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6"/>
                    </w:rPr>
                    <w:t>Sığır</w:t>
                  </w:r>
                </w:p>
              </w:tc>
              <w:tc>
                <w:tcPr>
                  <w:tcW w:w="170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>2 mg/kg/gün IV veya IM (2 ml/50 kg), 1-3 gün.</w:t>
                  </w:r>
                </w:p>
              </w:tc>
              <w:tc>
                <w:tcPr>
                  <w:tcW w:w="96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6"/>
                    </w:rPr>
                    <w:t xml:space="preserve">Kalıntı süresi uygulama yoluna göre değişir; güncel </w:t>
                  </w:r>
                  <w:r>
                    <w:rPr>
                      <w:rFonts w:ascii="Arial" w:hAnsi="Arial"/>
                      <w:sz w:val="16"/>
                    </w:rPr>
                    <w:t>prospektüs kontrol edilir.</w:t>
                  </w:r>
                </w:p>
              </w:tc>
            </w:tr>
          </w:tbl>
          <w:p w:rsidR="009547A8" w:rsidRDefault="009547A8"/>
          <w:p w:rsidR="009547A8" w:rsidRDefault="009547A8">
            <w:pPr>
              <w:spacing w:after="20" w:line="247" w:lineRule="auto"/>
              <w:jc w:val="both"/>
            </w:pP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 xml:space="preserve">• NSAİİ kullanılmadan önce hidrasyon ve dolaşım durumu değerlendirilir. Dehidratasyon, hipovolemi, hipotansiyon, böbrek/karaciğer hastalığı, gastrointestinal ülserasyon veya kanama riski bulunan hastalarda fayda-risk </w:t>
            </w:r>
            <w:r>
              <w:rPr>
                <w:rFonts w:ascii="Arial" w:hAnsi="Arial"/>
                <w:sz w:val="21"/>
              </w:rPr>
              <w:t>değerlendirmesi yapılır ve uygun değilse NSAİİ kullanılmaz.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İştahsızlık, kusma, ishal, hematemez, melena, belirgin letarji veya renal/hepatik fonksiyon bozukluğu şüphesinde NSAİİ kesilir ve hasta yeniden değerlendirilir.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lastRenderedPageBreak/>
              <w:t>7.3. Lokal ve Bölgesel Anestezi -</w:t>
            </w:r>
            <w:r>
              <w:rPr>
                <w:rFonts w:ascii="Arial" w:hAnsi="Arial"/>
                <w:b/>
                <w:sz w:val="21"/>
              </w:rPr>
              <w:t xml:space="preserve"> Vilcain (Lidokain HCl 20 mg/ml + Adrenalin)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Ağrılı cerrahi ve girişimlerde uygun olduğunda lokal infiltrasyon, sinir bloğu veya epidural anestezi multimodal ağrı yönetiminin bir parçası olarak kullanılır. Vilcain Türkiye’de at, köpek ve kediler için ruh</w:t>
            </w:r>
            <w:r>
              <w:rPr>
                <w:rFonts w:ascii="Arial" w:hAnsi="Arial"/>
                <w:sz w:val="21"/>
              </w:rPr>
              <w:t>satlı veteriner lokal anesteziktir.</w:t>
            </w: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361"/>
              <w:gridCol w:w="1247"/>
              <w:gridCol w:w="3449"/>
            </w:tblGrid>
            <w:tr w:rsidR="009547A8">
              <w:trPr>
                <w:cantSplit/>
                <w:tblHeader/>
                <w:jc w:val="center"/>
              </w:trPr>
              <w:tc>
                <w:tcPr>
                  <w:tcW w:w="1361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Tür / teknik</w:t>
                  </w:r>
                </w:p>
              </w:tc>
              <w:tc>
                <w:tcPr>
                  <w:tcW w:w="1247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Prospektüs hacmi</w:t>
                  </w:r>
                </w:p>
              </w:tc>
              <w:tc>
                <w:tcPr>
                  <w:tcW w:w="1587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Not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3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At - infiltrasyon</w:t>
                  </w:r>
                </w:p>
              </w:tc>
              <w:tc>
                <w:tcPr>
                  <w:tcW w:w="124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20-50 ml; azami 150-200 ml</w:t>
                  </w:r>
                </w:p>
              </w:tc>
              <w:tc>
                <w:tcPr>
                  <w:tcW w:w="158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Tekniğe ve cerrahi alana göre ayarlanır.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3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At - sinir bloğu</w:t>
                  </w:r>
                </w:p>
              </w:tc>
              <w:tc>
                <w:tcPr>
                  <w:tcW w:w="124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2-15 ml; azami 30 ml</w:t>
                  </w:r>
                </w:p>
              </w:tc>
              <w:tc>
                <w:tcPr>
                  <w:tcW w:w="158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Enjeksiyon öncesi aspirasyon yapılır.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3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At - epidural</w:t>
                  </w:r>
                </w:p>
              </w:tc>
              <w:tc>
                <w:tcPr>
                  <w:tcW w:w="124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5-20 ml</w:t>
                  </w:r>
                </w:p>
              </w:tc>
              <w:tc>
                <w:tcPr>
                  <w:tcW w:w="158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Aseptik teknik zorunludur.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3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Kedi/Köpek - infiltrasyon</w:t>
                  </w:r>
                </w:p>
              </w:tc>
              <w:tc>
                <w:tcPr>
                  <w:tcW w:w="124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2-5 ml; azami kedi 5 ml, köpek 30 ml</w:t>
                  </w:r>
                </w:p>
              </w:tc>
              <w:tc>
                <w:tcPr>
                  <w:tcW w:w="158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Damar içi uygulamadan kaçınılır.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3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Kedi/Köpek - epidural</w:t>
                  </w:r>
                </w:p>
              </w:tc>
              <w:tc>
                <w:tcPr>
                  <w:tcW w:w="124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1-5 ml</w:t>
                  </w:r>
                </w:p>
              </w:tc>
              <w:tc>
                <w:tcPr>
                  <w:tcW w:w="1587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r>
                    <w:rPr>
                      <w:rFonts w:ascii="Arial" w:hAnsi="Arial"/>
                      <w:sz w:val="17"/>
                    </w:rPr>
                    <w:t>Spinal kanal enfeksiyonu/yaralanması/deformasyonunda uygulanmaz.</w:t>
                  </w:r>
                </w:p>
              </w:tc>
            </w:tr>
          </w:tbl>
          <w:p w:rsidR="009547A8" w:rsidRDefault="009547A8"/>
          <w:p w:rsidR="009547A8" w:rsidRDefault="009547A8">
            <w:pPr>
              <w:spacing w:after="20" w:line="247" w:lineRule="auto"/>
              <w:jc w:val="both"/>
            </w:pP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 xml:space="preserve">• Adrenalin içeren lidokain </w:t>
            </w:r>
            <w:r>
              <w:rPr>
                <w:rFonts w:ascii="Arial" w:hAnsi="Arial"/>
                <w:sz w:val="21"/>
              </w:rPr>
              <w:t>preparatları dolaşımı yetersiz veya uç arter dolaşımının kritik olduğu bölgelerde dikkatle kullanılır. Kazara intravasküler uygulamayı önlemek için enjeksiyon öncesi aspirasyon yapılır.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8. Ağrı Şiddetine Göre Klinik Yaklaşım</w:t>
            </w:r>
          </w:p>
          <w:tbl>
            <w:tblPr>
              <w:tblStyle w:val="TabloKlavuz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34"/>
              <w:gridCol w:w="3061"/>
            </w:tblGrid>
            <w:tr w:rsidR="009547A8">
              <w:trPr>
                <w:cantSplit/>
                <w:tblHeader/>
                <w:jc w:val="center"/>
              </w:trPr>
              <w:tc>
                <w:tcPr>
                  <w:tcW w:w="1134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Ağrı düzeyi</w:t>
                  </w:r>
                </w:p>
              </w:tc>
              <w:tc>
                <w:tcPr>
                  <w:tcW w:w="3061" w:type="dxa"/>
                  <w:shd w:val="clear" w:color="auto" w:fill="D9EAD3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b/>
                      <w:sz w:val="17"/>
                    </w:rPr>
                    <w:t>Önerilen yaklaşım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Hafif</w:t>
                  </w:r>
                </w:p>
              </w:tc>
              <w:tc>
                <w:tcPr>
                  <w:tcW w:w="30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Kontrendikasyon yoksa uygun NSAİİ; ağrılı girişim varsa lokal/bölgesel anestezi. Hasta yeniden değerlendirilir.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Orta</w:t>
                  </w:r>
                </w:p>
              </w:tc>
              <w:tc>
                <w:tcPr>
                  <w:tcW w:w="30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Nalgosed + uygun NSAİİ ve/veya lokal-bölgesel anestezi. İlaçlar hastanın türü ve klinik durumuna göre seçilir.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Şiddetli / majör cer</w:t>
                  </w:r>
                  <w:r>
                    <w:rPr>
                      <w:rFonts w:ascii="Arial" w:hAnsi="Arial"/>
                      <w:sz w:val="17"/>
                    </w:rPr>
                    <w:t>rahi</w:t>
                  </w:r>
                </w:p>
              </w:tc>
              <w:tc>
                <w:tcPr>
                  <w:tcW w:w="30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Preemptif opioid analjezi + lokal/bölgesel anestezi + uygun olduğunda NSAİİ; yakın kardiyorespiratuvar izlem ve sık ağrı değerlendirmesi. Yetersiz analjezide tedavi planı derhal yükseltilir.</w:t>
                  </w:r>
                </w:p>
              </w:tc>
            </w:tr>
            <w:tr w:rsidR="009547A8">
              <w:trPr>
                <w:cantSplit/>
                <w:jc w:val="center"/>
              </w:trPr>
              <w:tc>
                <w:tcPr>
                  <w:tcW w:w="1134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Kronik</w:t>
                  </w:r>
                </w:p>
              </w:tc>
              <w:tc>
                <w:tcPr>
                  <w:tcW w:w="3061" w:type="dxa"/>
                  <w:tcMar>
                    <w:top w:w="70" w:type="dxa"/>
                    <w:left w:w="80" w:type="dxa"/>
                    <w:bottom w:w="70" w:type="dxa"/>
                    <w:right w:w="80" w:type="dxa"/>
                  </w:tcMar>
                  <w:vAlign w:val="center"/>
                </w:tcPr>
                <w:p w:rsidR="009547A8" w:rsidRDefault="0017108A">
                  <w:pPr>
                    <w:jc w:val="center"/>
                  </w:pPr>
                  <w:r>
                    <w:rPr>
                      <w:rFonts w:ascii="Arial" w:hAnsi="Arial"/>
                      <w:sz w:val="17"/>
                    </w:rPr>
                    <w:t>Altta yatan neden tedavi edilir; uygun NSAİİ ve non-</w:t>
                  </w:r>
                  <w:r>
                    <w:rPr>
                      <w:rFonts w:ascii="Arial" w:hAnsi="Arial"/>
                      <w:sz w:val="17"/>
                    </w:rPr>
                    <w:t>farmakolojik destek planlanır. Uzun süreli tedavide klinik ve gerektiğinde laboratuvar kontrolleri yapılır.</w:t>
                  </w:r>
                </w:p>
              </w:tc>
            </w:tr>
          </w:tbl>
          <w:p w:rsidR="009547A8" w:rsidRDefault="009547A8"/>
          <w:p w:rsidR="009547A8" w:rsidRDefault="009547A8">
            <w:pPr>
              <w:spacing w:after="20" w:line="247" w:lineRule="auto"/>
              <w:jc w:val="both"/>
            </w:pP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 xml:space="preserve">• Veteriner ruhsatlı mevcut seçeneklerle yeterli analjezi sağlanamadığı şiddetli ağrı olgularında, beşeri kontrollü analjeziklerin veteriner </w:t>
            </w:r>
            <w:r>
              <w:rPr>
                <w:rFonts w:ascii="Arial" w:hAnsi="Arial"/>
                <w:sz w:val="21"/>
              </w:rPr>
              <w:t>hekimlikte kullanımı ancak ilgili mevzuat ve hastanenin yetkilendirilmiş reçete/temin prosedürü kapsamında ayrıca değerlendirilir.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9. Perioperatif Ağrı Yönetimi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Cerrahi öncesi ağrı düzeyi belirlenir ve planlanan girişimin beklenen ağrı şiddetine göre pre</w:t>
            </w:r>
            <w:r>
              <w:rPr>
                <w:rFonts w:ascii="Arial" w:hAnsi="Arial"/>
                <w:sz w:val="21"/>
              </w:rPr>
              <w:t>medikasyon hazırlanır. Uygun hastalarda Nalgosed premedikasyona eklenir; cerrahi sahaya uygun lokal veya bölgesel blok planlanır.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NSAİİ, kontrendikasyon bulunmayan ve yeterli perfüzyonu bulunan hastalarda ürün prospektüsü ve klinik değerlendirmeye göre p</w:t>
            </w:r>
            <w:r>
              <w:rPr>
                <w:rFonts w:ascii="Arial" w:hAnsi="Arial"/>
                <w:sz w:val="21"/>
              </w:rPr>
              <w:t>erioperatif plana eklenir.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Uyanma döneminde hasta ağrı yönünden tekrar değerlendirilir. Ağrı bulguları devam ediyorsa kurtarma analjezisi uygulanır ve yanıt kaydedilir.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10. Hospitalizasyon ve Kronik Ağrı İzlemi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lastRenderedPageBreak/>
              <w:t xml:space="preserve">• Hospitalize hastalarda analjezik etki ve </w:t>
            </w:r>
            <w:r>
              <w:rPr>
                <w:rFonts w:ascii="Arial" w:hAnsi="Arial"/>
                <w:sz w:val="21"/>
              </w:rPr>
              <w:t>advers etkiler düzenli aralıklarla izlenir. Ağrı skorundaki artış, yeni ağrı davranışı, iştahsızlık, hareket kısıtlılığı veya huzursuzluk tedavinin yeniden değerlendirilmesini gerektirir.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 xml:space="preserve">• Kronik NSAİİ tedavisi planlanan hastalarda başlangıç klinik </w:t>
            </w:r>
            <w:r>
              <w:rPr>
                <w:rFonts w:ascii="Arial" w:hAnsi="Arial"/>
                <w:sz w:val="21"/>
              </w:rPr>
              <w:t>değerlendirmesi yapılır; hastanın yaşı ve eşlik eden hastalıklarına göre renal/hepatik parametrelerin izlenmesi planlanır. Hasta sahibine olası gastrointestinal ve sistemik yan etkiler anlatılır.</w:t>
            </w:r>
          </w:p>
          <w:p w:rsidR="009547A8" w:rsidRDefault="0017108A">
            <w:pPr>
              <w:keepNext/>
              <w:spacing w:before="20" w:after="20" w:line="247" w:lineRule="auto"/>
              <w:jc w:val="both"/>
            </w:pPr>
            <w:r>
              <w:rPr>
                <w:rFonts w:ascii="Arial" w:hAnsi="Arial"/>
                <w:b/>
                <w:sz w:val="21"/>
              </w:rPr>
              <w:t>11. Kayıt ve İzlenebilirlik</w:t>
            </w:r>
          </w:p>
          <w:p w:rsidR="009547A8" w:rsidRDefault="0017108A">
            <w:pPr>
              <w:spacing w:after="20" w:line="247" w:lineRule="auto"/>
              <w:jc w:val="both"/>
            </w:pPr>
            <w:r>
              <w:rPr>
                <w:rFonts w:ascii="Arial" w:hAnsi="Arial"/>
                <w:sz w:val="21"/>
              </w:rPr>
              <w:t>• Hasta dosyasına ağrı değerlend</w:t>
            </w:r>
            <w:r>
              <w:rPr>
                <w:rFonts w:ascii="Arial" w:hAnsi="Arial"/>
                <w:sz w:val="21"/>
              </w:rPr>
              <w:t>irmesi, kullanılan ölçek/klinik bulgular, ağrı şiddeti, uygulanan ilacın ticari adı ve etken maddesi, doz, uygulama yolu, uygulama saati, yeniden değerlendirme sonucu ve varsa advers reaksiyonlar kaydedilir.</w:t>
            </w:r>
            <w:bookmarkStart w:id="0" w:name="_GoBack"/>
            <w:bookmarkEnd w:id="0"/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0A74A7" w:rsidTr="004377FE">
        <w:trPr>
          <w:cantSplit/>
        </w:trPr>
        <w:tc>
          <w:tcPr>
            <w:tcW w:w="3250" w:type="dxa"/>
            <w:vAlign w:val="center"/>
          </w:tcPr>
          <w:p w:rsidR="000A74A7" w:rsidRPr="005B637C" w:rsidRDefault="000A74A7" w:rsidP="004377FE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0A74A7" w:rsidRPr="005B637C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0A74A7" w:rsidRPr="005B637C" w:rsidRDefault="000A74A7" w:rsidP="004377FE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eastAsia="Arial" w:hAnsi="Arial" w:cs="Arial"/>
                <w:b/>
                <w:sz w:val="19"/>
              </w:rPr>
              <w:t>Veteriner Fakültesi Dekanı</w:t>
            </w:r>
          </w:p>
        </w:tc>
      </w:tr>
      <w:tr w:rsidR="000A74A7" w:rsidTr="0099577A">
        <w:trPr>
          <w:cantSplit/>
          <w:trHeight w:val="1059"/>
        </w:trPr>
        <w:tc>
          <w:tcPr>
            <w:tcW w:w="3250" w:type="dxa"/>
            <w:vAlign w:val="center"/>
          </w:tcPr>
          <w:p w:rsidR="000A74A7" w:rsidRPr="0099577A" w:rsidRDefault="00135034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</w:t>
            </w:r>
            <w:r w:rsidR="00766341">
              <w:rPr>
                <w:rFonts w:ascii="Arial" w:eastAsia="Arial" w:hAnsi="Arial" w:cs="Arial"/>
                <w:b/>
                <w:sz w:val="19"/>
                <w:szCs w:val="20"/>
              </w:rPr>
              <w:t>. Dr. Burcu M. BALKAN</w:t>
            </w:r>
          </w:p>
        </w:tc>
        <w:tc>
          <w:tcPr>
            <w:tcW w:w="3250" w:type="dxa"/>
            <w:vAlign w:val="center"/>
          </w:tcPr>
          <w:p w:rsidR="000A74A7" w:rsidRPr="0099577A" w:rsidRDefault="00766341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Prof. Dr. A. Reha AĞAOĞLU</w:t>
            </w:r>
          </w:p>
        </w:tc>
        <w:tc>
          <w:tcPr>
            <w:tcW w:w="3250" w:type="dxa"/>
            <w:vAlign w:val="center"/>
          </w:tcPr>
          <w:p w:rsidR="000A74A7" w:rsidRPr="0099577A" w:rsidRDefault="00766341" w:rsidP="0099577A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19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737" w:right="794" w:bottom="737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26428"/>
    <w:multiLevelType w:val="hybridMultilevel"/>
    <w:tmpl w:val="CA28EE70"/>
    <w:lvl w:ilvl="0" w:tplc="F98E482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75C3"/>
    <w:multiLevelType w:val="hybridMultilevel"/>
    <w:tmpl w:val="D83E5072"/>
    <w:lvl w:ilvl="0" w:tplc="714E49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66FB0"/>
    <w:multiLevelType w:val="hybridMultilevel"/>
    <w:tmpl w:val="E222D5B6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A74A7"/>
    <w:rsid w:val="000B1A7B"/>
    <w:rsid w:val="00116165"/>
    <w:rsid w:val="0012645B"/>
    <w:rsid w:val="00135034"/>
    <w:rsid w:val="001571A7"/>
    <w:rsid w:val="0016462F"/>
    <w:rsid w:val="0017108A"/>
    <w:rsid w:val="00190700"/>
    <w:rsid w:val="001A5C26"/>
    <w:rsid w:val="001C6E2D"/>
    <w:rsid w:val="001D2DB0"/>
    <w:rsid w:val="00211197"/>
    <w:rsid w:val="0022576E"/>
    <w:rsid w:val="00424511"/>
    <w:rsid w:val="004245C4"/>
    <w:rsid w:val="004248FD"/>
    <w:rsid w:val="004A31CD"/>
    <w:rsid w:val="004D1279"/>
    <w:rsid w:val="004D5CAF"/>
    <w:rsid w:val="004F19AC"/>
    <w:rsid w:val="004F4240"/>
    <w:rsid w:val="005C6502"/>
    <w:rsid w:val="00611B66"/>
    <w:rsid w:val="0062170C"/>
    <w:rsid w:val="006C6ED9"/>
    <w:rsid w:val="007131A3"/>
    <w:rsid w:val="00737ACD"/>
    <w:rsid w:val="00753FDF"/>
    <w:rsid w:val="00766341"/>
    <w:rsid w:val="007941C4"/>
    <w:rsid w:val="007C0159"/>
    <w:rsid w:val="007D13CB"/>
    <w:rsid w:val="007D63B8"/>
    <w:rsid w:val="00875C83"/>
    <w:rsid w:val="00877600"/>
    <w:rsid w:val="00921D28"/>
    <w:rsid w:val="00931EA7"/>
    <w:rsid w:val="009547A8"/>
    <w:rsid w:val="00985D03"/>
    <w:rsid w:val="0099577A"/>
    <w:rsid w:val="009A00B2"/>
    <w:rsid w:val="00A544DA"/>
    <w:rsid w:val="00AF2AB8"/>
    <w:rsid w:val="00AF3D4C"/>
    <w:rsid w:val="00B03B06"/>
    <w:rsid w:val="00B63889"/>
    <w:rsid w:val="00B70157"/>
    <w:rsid w:val="00B73DA6"/>
    <w:rsid w:val="00C3057B"/>
    <w:rsid w:val="00C53672"/>
    <w:rsid w:val="00CA61A5"/>
    <w:rsid w:val="00CD7348"/>
    <w:rsid w:val="00D35C0E"/>
    <w:rsid w:val="00D76FB6"/>
    <w:rsid w:val="00DF7104"/>
    <w:rsid w:val="00E505A6"/>
    <w:rsid w:val="00E77752"/>
    <w:rsid w:val="00E95D1C"/>
    <w:rsid w:val="00EC561F"/>
    <w:rsid w:val="00F21570"/>
    <w:rsid w:val="00F35C05"/>
    <w:rsid w:val="00F46EF7"/>
    <w:rsid w:val="00F81718"/>
    <w:rsid w:val="00F8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5A106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81EC6"/>
    <w:pPr>
      <w:ind w:left="720"/>
      <w:contextualSpacing/>
    </w:pPr>
    <w:rPr>
      <w:rFonts w:ascii="Times" w:eastAsia="Times New Roman" w:hAnsi="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1422</Words>
  <Characters>8168</Characters>
  <Application>Microsoft Office Word</Application>
  <DocSecurity>0</DocSecurity>
  <Lines>107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Endoskopi Cihazının Cidex OPA ile Temizlik ve Dezenfeksiyon Talimatı</vt:lpstr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Endoskopi Cihazının Cidex OPA ile Temizlik ve Dezenfeksiyon Talimatı</dc:title>
  <dc:subject>MAKÜ.HH.49</dc:subject>
  <dc:creator>author</dc:creator>
  <cp:keywords/>
  <dc:description/>
  <cp:lastModifiedBy>author</cp:lastModifiedBy>
  <cp:revision>2</cp:revision>
  <cp:lastPrinted>2020-02-24T06:58:00Z</cp:lastPrinted>
  <dcterms:created xsi:type="dcterms:W3CDTF">2026-09-17T05:22:00Z</dcterms:created>
  <dcterms:modified xsi:type="dcterms:W3CDTF">2026-09-17T05:22:00Z</dcterms:modified>
</cp:coreProperties>
</file>