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1. SINIF STAJ UYGUNLUK DİLEKÇESİ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16" w:edGrp="everyone"/>
      <w:sdt>
        <w:sdtPr>
          <w:alias w:val="Tarih"/>
          <w:tag w:val="Tarih"/>
          <w:id w:val="41115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16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7" w:edGrp="everyone"/>
            <w:sdt>
              <w:sdtPr>
                <w:alias w:val="Adı Soyadı"/>
                <w:tag w:val="Adı Soyadı"/>
                <w:id w:val="411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8" w:edGrp="everyone"/>
            <w:sdt>
              <w:sdtPr>
                <w:alias w:val="Öğrenci No"/>
                <w:tag w:val="Öğrenci No"/>
                <w:id w:val="411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8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Programı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19" w:edGrp="everyone"/>
            <w:sdt>
              <w:sdtPr>
                <w:alias w:val="Program"/>
                <w:tag w:val="Program"/>
                <w:id w:val="411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Burdur Mehmet Akif Ersoy Üniversitesi Meslek Yüksekokulları Staj Yönergesi'nin 13. maddesi uyarınca; birinci ve ikinci yarıyıl derslerini en az bir kez almış, devam şartını yerine getirmiş olan ve Staj Komisyonunca uygun görülen öğrenciler, birinci sınıfın sonunda isteğe bağlı olarak staj yapabilir.</w:t>
      </w: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Birinci sınıf sonunda devamsız dersim bulunmamaktadır. 20…/20… öğretim yılı yaz döneminde staja çıkmak istiyorum.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STAJ BAŞVURU GEREKÇESİ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70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20" w:edGrp="everyone"/>
            <w:sdt>
              <w:sdtPr>
                <w:alias w:val="Gerekçe"/>
                <w:tag w:val="Gerekçe"/>
                <w:id w:val="41119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120"/>
          </w:p>
        </w:tc>
      </w:tr>
    </w:tbl>
    <w:p>
      <w:pPr>
        <w:spacing w:before="0" w:after="0" w:line="80" w:lineRule="exact"/>
        <w:jc w:val="left"/>
      </w:pPr>
    </w:p>
    <w:p>
      <w:pPr>
        <w:spacing w:before="40" w:after="12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21" w:edGrp="everyone"/>
            <w:sdt>
              <w:sdtPr>
                <w:alias w:val="Öğrenci Adı Soyadı"/>
                <w:tag w:val="Öğrenci Adı Soyadı"/>
                <w:id w:val="4112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21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STAJ KOMİSYONU DEĞERLENDİRMESİ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551"/>
        <w:gridCol w:w="1984"/>
        <w:gridCol w:w="1984"/>
        <w:gridCol w:w="3118"/>
      </w:tblGrid>
      <w:tr>
        <w:trPr>
          <w:cantSplit/>
        </w:trPr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Görevi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Uygundur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Uygun Değildir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Adı Soyadı / Kaşe / İmza</w:t>
            </w:r>
          </w:p>
        </w:tc>
      </w:tr>
      <w:tr>
        <w:trPr>
          <w:trHeight w:val="680" w:hRule="atLeast"/>
          <w:cantSplit/>
        </w:trPr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Staj Komisyonu Başkanı</w:t>
            </w:r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2" w:edGrp="everyone"/>
            <w:sdt>
              <w:sdtPr>
                <w:alias w:val="Başkan uygun"/>
                <w:tag w:val="Başkan uygun"/>
                <w:id w:val="4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3" w:edGrp="everyone"/>
            <w:sdt>
              <w:sdtPr>
                <w:alias w:val="Başkan uygun değil"/>
                <w:tag w:val="Başkan uygun değil"/>
                <w:id w:val="4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3"/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4" w:edGrp="everyone"/>
            <w:sdt>
              <w:sdtPr>
                <w:alias w:val="Başkan adı"/>
                <w:tag w:val="Başkan adı"/>
                <w:id w:val="411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4"/>
          </w:p>
        </w:tc>
      </w:tr>
      <w:tr>
        <w:trPr>
          <w:trHeight w:val="680" w:hRule="atLeast"/>
          <w:cantSplit/>
        </w:trPr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5" w:edGrp="everyone"/>
            <w:sdt>
              <w:sdtPr>
                <w:alias w:val="Üye1 uygun"/>
                <w:tag w:val="Üye1 uygun"/>
                <w:id w:val="4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6" w:edGrp="everyone"/>
            <w:sdt>
              <w:sdtPr>
                <w:alias w:val="Üye1 uygun değil"/>
                <w:tag w:val="Üye1 uygun değil"/>
                <w:id w:val="4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6"/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7" w:edGrp="everyone"/>
            <w:sdt>
              <w:sdtPr>
                <w:alias w:val="Üye1 adı"/>
                <w:tag w:val="Üye1 adı"/>
                <w:id w:val="411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7"/>
          </w:p>
        </w:tc>
      </w:tr>
      <w:tr>
        <w:trPr>
          <w:trHeight w:val="680" w:hRule="atLeast"/>
          <w:cantSplit/>
        </w:trPr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8" w:edGrp="everyone"/>
            <w:sdt>
              <w:sdtPr>
                <w:alias w:val="Üye2 uygun"/>
                <w:tag w:val="Üye2 uygun"/>
                <w:id w:val="4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permStart w:id="129" w:edGrp="everyone"/>
            <w:sdt>
              <w:sdtPr>
                <w:alias w:val="Üye2 uygun değil"/>
                <w:tag w:val="Üye2 uygun değil"/>
                <w:id w:val="4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9"/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" w:edGrp="everyone"/>
            <w:sdt>
              <w:sdtPr>
                <w:alias w:val="Üye2 adı"/>
                <w:tag w:val="Üye2 adı"/>
                <w:id w:val="411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30"/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HTMYO-STJ-104  |  1. Sınıf Staj Uygunluk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HTMYO-STJ-104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Sınıf Staj Uygunluk Dilekçesi</dc:title>
  <dc:subject>HTMYO-STJ-104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