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608"/>
        <w:gridCol w:w="3782"/>
        <w:gridCol w:w="1275"/>
        <w:gridCol w:w="284"/>
        <w:gridCol w:w="3425"/>
        <w:gridCol w:w="974"/>
        <w:gridCol w:w="5109"/>
      </w:tblGrid>
      <w:tr w:rsidR="00EC2DD7" w:rsidRPr="00193864" w:rsidTr="005C1D61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EC2DD7" w:rsidRPr="00193864" w:rsidRDefault="00EC2DD7" w:rsidP="009D6819">
            <w:pPr>
              <w:rPr>
                <w:b/>
                <w:sz w:val="22"/>
                <w:szCs w:val="22"/>
              </w:rPr>
            </w:pPr>
            <w:r w:rsidRPr="00193864">
              <w:rPr>
                <w:b/>
                <w:sz w:val="22"/>
                <w:szCs w:val="22"/>
              </w:rPr>
              <w:t xml:space="preserve">Birim: </w:t>
            </w:r>
            <w:r w:rsidR="000C417D" w:rsidRPr="00193864">
              <w:rPr>
                <w:b/>
                <w:sz w:val="22"/>
                <w:szCs w:val="22"/>
              </w:rPr>
              <w:t xml:space="preserve">Turizm Fakültesi </w:t>
            </w:r>
          </w:p>
        </w:tc>
      </w:tr>
      <w:tr w:rsidR="00EC2DD7" w:rsidRPr="00193864" w:rsidTr="005C1D61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EC2DD7" w:rsidRPr="00193864" w:rsidRDefault="00EC2DD7" w:rsidP="009D6819">
            <w:pPr>
              <w:rPr>
                <w:b/>
                <w:sz w:val="22"/>
                <w:szCs w:val="22"/>
              </w:rPr>
            </w:pPr>
            <w:r w:rsidRPr="00193864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0C417D" w:rsidRPr="00193864">
              <w:rPr>
                <w:b/>
                <w:color w:val="000000" w:themeColor="text1"/>
                <w:sz w:val="22"/>
                <w:szCs w:val="22"/>
              </w:rPr>
              <w:t xml:space="preserve">Personel İşleri </w:t>
            </w:r>
          </w:p>
        </w:tc>
      </w:tr>
      <w:tr w:rsidR="00EC2DD7" w:rsidRPr="00193864" w:rsidTr="00E45622">
        <w:trPr>
          <w:trHeight w:val="561"/>
          <w:jc w:val="center"/>
        </w:trPr>
        <w:tc>
          <w:tcPr>
            <w:tcW w:w="608" w:type="dxa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782" w:type="dxa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275" w:type="dxa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09" w:type="dxa"/>
            <w:gridSpan w:val="2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74" w:type="dxa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5109" w:type="dxa"/>
            <w:shd w:val="clear" w:color="auto" w:fill="2E74B5" w:themeFill="accent1" w:themeFillShade="BF"/>
            <w:vAlign w:val="center"/>
          </w:tcPr>
          <w:p w:rsidR="00EC2DD7" w:rsidRPr="00193864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93864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EC2DD7" w:rsidRPr="00193864" w:rsidTr="00E45622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C2DD7" w:rsidRPr="00193864" w:rsidRDefault="00EC2DD7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193864">
              <w:rPr>
                <w:sz w:val="22"/>
                <w:szCs w:val="22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193864" w:rsidRDefault="000C417D" w:rsidP="00EC2DD7">
            <w:pPr>
              <w:rPr>
                <w:color w:val="000000"/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Fakültede görevli personelin özlük işlemlerini (</w:t>
            </w:r>
            <w:proofErr w:type="spellStart"/>
            <w:proofErr w:type="gramStart"/>
            <w:r w:rsidRPr="00193864">
              <w:rPr>
                <w:sz w:val="22"/>
                <w:szCs w:val="22"/>
              </w:rPr>
              <w:t>izin,terfi</w:t>
            </w:r>
            <w:proofErr w:type="spellEnd"/>
            <w:r w:rsidRPr="00193864">
              <w:rPr>
                <w:sz w:val="22"/>
                <w:szCs w:val="22"/>
              </w:rPr>
              <w:t>,…</w:t>
            </w:r>
            <w:proofErr w:type="gramEnd"/>
            <w:r w:rsidRPr="00193864">
              <w:rPr>
                <w:sz w:val="22"/>
                <w:szCs w:val="22"/>
              </w:rPr>
              <w:t>) zamanında, düzenli olarak ve gizlilik içerisinde yapmak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193864" w:rsidRDefault="000C417D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EC2DD7" w:rsidRPr="00193864" w:rsidRDefault="000C417D" w:rsidP="00EC2DD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Hak kaybı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C2DD7" w:rsidRPr="00193864" w:rsidRDefault="000C417D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EC2DD7" w:rsidRPr="00193864" w:rsidRDefault="000C417D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</w:t>
            </w:r>
          </w:p>
        </w:tc>
      </w:tr>
      <w:tr w:rsidR="000C417D" w:rsidRPr="00193864" w:rsidTr="00E45622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0C417D" w:rsidRPr="00193864" w:rsidRDefault="000C417D" w:rsidP="000C417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0C417D" w:rsidP="000C417D">
            <w:pPr>
              <w:rPr>
                <w:color w:val="000000"/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Rektörlük Makamınca ataması yapılan personelin atama onaylarının birer örneğini, kademe ve derece ilerleme onaylarının ilgililere ve Mali İşler birimine vermek, aslını dosyalamak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0C417D" w:rsidP="000C417D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0C417D" w:rsidRPr="00193864" w:rsidRDefault="000C417D" w:rsidP="000C417D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Hak kaybı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C417D" w:rsidRPr="00193864" w:rsidRDefault="000C417D" w:rsidP="000C417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0C417D" w:rsidRPr="00193864" w:rsidRDefault="000C417D" w:rsidP="000C417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</w:t>
            </w:r>
          </w:p>
        </w:tc>
      </w:tr>
      <w:tr w:rsidR="00EC2DD7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C2DD7" w:rsidRPr="00193864" w:rsidRDefault="00EC2DD7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193864" w:rsidRDefault="000C417D" w:rsidP="00EC2DD7">
            <w:pPr>
              <w:rPr>
                <w:color w:val="000000"/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Fakülteye alınacak Akademik personel ilanlarını asmak, müracaatlarını eksiksiz almak, sınav tutanaklarını ve evraklarını düzenlemek, sınavlarını takip etmek ve sonuçlarının ilan edilmesini sağlamak, Sınavlarda başarılı olan</w:t>
            </w:r>
            <w:r w:rsidR="00AA1120" w:rsidRPr="00193864">
              <w:rPr>
                <w:sz w:val="22"/>
                <w:szCs w:val="22"/>
              </w:rPr>
              <w:t>l</w:t>
            </w:r>
            <w:r w:rsidRPr="00193864">
              <w:rPr>
                <w:sz w:val="22"/>
                <w:szCs w:val="22"/>
              </w:rPr>
              <w:t>ara gerek1i tebligatları yapmak, müracaat ve sınav evraklarını bir dosya halinde Fakülte Yönetim Kuruluna sunmak, kuruldan çıkacak karara göre atama teklifleri ile ilgili yazışmaları yapmak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193864" w:rsidRDefault="000C417D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0C417D" w:rsidRPr="00193864" w:rsidRDefault="000C417D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 xml:space="preserve">Hak kaybı </w:t>
            </w:r>
          </w:p>
          <w:p w:rsidR="00EC2DD7" w:rsidRPr="00193864" w:rsidRDefault="000C417D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İtibar kaybı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C2DD7" w:rsidRPr="00193864" w:rsidRDefault="000C417D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EC2DD7" w:rsidRPr="00193864" w:rsidRDefault="000C417D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 Yönetmelik değişikliklerini takip etmek ve uygulamak</w:t>
            </w:r>
          </w:p>
        </w:tc>
      </w:tr>
      <w:tr w:rsidR="000C417D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0C417D" w:rsidRPr="00193864" w:rsidRDefault="000C417D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4</w:t>
            </w:r>
            <w:r w:rsidR="0043179A" w:rsidRPr="00193864">
              <w:rPr>
                <w:sz w:val="22"/>
                <w:szCs w:val="22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0C417D" w:rsidP="00EC2DD7">
            <w:pPr>
              <w:rPr>
                <w:color w:val="000000"/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 xml:space="preserve">Akademik personelin yurtiçi ve yurtdışı görev sürelerini takip etmek, süreleri dolmadan en geç bir ay önceden süre uzatma işlemlerini başlatmak ve sürelerinin zamanında uzatılmasını </w:t>
            </w:r>
            <w:r w:rsidRPr="00193864">
              <w:rPr>
                <w:sz w:val="22"/>
                <w:szCs w:val="22"/>
              </w:rPr>
              <w:lastRenderedPageBreak/>
              <w:t>sağlamak için takip edip sonuçlandırmak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0C417D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lastRenderedPageBreak/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187996" w:rsidRPr="00193864" w:rsidRDefault="00187996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 xml:space="preserve">Hak kaybı </w:t>
            </w:r>
          </w:p>
          <w:p w:rsidR="000C417D" w:rsidRPr="00193864" w:rsidRDefault="00187996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Cezai Sonuç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C417D" w:rsidRPr="00193864" w:rsidRDefault="00187996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0C417D" w:rsidRPr="00193864" w:rsidRDefault="00187996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 Otokontrol sistemi oluşturulması</w:t>
            </w:r>
          </w:p>
        </w:tc>
      </w:tr>
      <w:tr w:rsidR="000C417D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0C417D" w:rsidRPr="00193864" w:rsidRDefault="00EE754D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5</w:t>
            </w:r>
            <w:r w:rsidR="0043179A" w:rsidRPr="00193864">
              <w:rPr>
                <w:sz w:val="22"/>
                <w:szCs w:val="22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187996" w:rsidP="00EC2DD7">
            <w:pPr>
              <w:rPr>
                <w:color w:val="000000"/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Rapor alan akademik ve idari personelin raporlarını düzenli olarak Mali İşler birimine bildirmek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D" w:rsidRPr="00193864" w:rsidRDefault="00187996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0C417D" w:rsidRPr="00193864" w:rsidRDefault="00187996" w:rsidP="00EC2DD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Kamu zararı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C417D" w:rsidRPr="00193864" w:rsidRDefault="00187996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0C417D" w:rsidRPr="00193864" w:rsidRDefault="00187996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</w:t>
            </w:r>
          </w:p>
        </w:tc>
      </w:tr>
      <w:tr w:rsidR="00EE754D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E754D" w:rsidRPr="00193864" w:rsidRDefault="00EE754D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6</w:t>
            </w:r>
            <w:r w:rsidR="0043179A" w:rsidRPr="00193864">
              <w:rPr>
                <w:sz w:val="22"/>
                <w:szCs w:val="22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4D" w:rsidRPr="00193864" w:rsidRDefault="00EE754D" w:rsidP="00EE754D">
            <w:pPr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Akademik ve idari personel yurtiçi ve yurtdışı görevlendirme işlemleri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4D" w:rsidRPr="00193864" w:rsidRDefault="00EE754D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EE754D" w:rsidRPr="00193864" w:rsidRDefault="00EE754D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Hak kaybı</w:t>
            </w:r>
          </w:p>
          <w:p w:rsidR="00EE754D" w:rsidRPr="00193864" w:rsidRDefault="00D02A9A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</w:t>
            </w:r>
            <w:r w:rsidR="00EE754D" w:rsidRPr="00193864">
              <w:rPr>
                <w:sz w:val="22"/>
                <w:szCs w:val="22"/>
              </w:rPr>
              <w:t>ersiz ödeme</w:t>
            </w:r>
          </w:p>
          <w:p w:rsidR="00EE754D" w:rsidRPr="00193864" w:rsidRDefault="00EE754D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 xml:space="preserve"> </w:t>
            </w:r>
            <w:r w:rsidR="00D02A9A" w:rsidRPr="00193864">
              <w:rPr>
                <w:sz w:val="22"/>
                <w:szCs w:val="22"/>
              </w:rPr>
              <w:t>K</w:t>
            </w:r>
            <w:r w:rsidRPr="00193864">
              <w:rPr>
                <w:sz w:val="22"/>
                <w:szCs w:val="22"/>
              </w:rPr>
              <w:t>amu zararı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E754D" w:rsidRPr="00193864" w:rsidRDefault="00EE754D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Orta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EE754D" w:rsidRPr="00193864" w:rsidRDefault="00EE754D" w:rsidP="00D02A9A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</w:t>
            </w:r>
            <w:r w:rsidR="00D02A9A" w:rsidRPr="00193864">
              <w:rPr>
                <w:sz w:val="22"/>
                <w:szCs w:val="22"/>
              </w:rPr>
              <w:t xml:space="preserve"> </w:t>
            </w:r>
            <w:r w:rsidRPr="00193864">
              <w:rPr>
                <w:sz w:val="22"/>
                <w:szCs w:val="22"/>
              </w:rPr>
              <w:t>yapmak</w:t>
            </w:r>
          </w:p>
        </w:tc>
      </w:tr>
      <w:tr w:rsidR="00EE754D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E754D" w:rsidRPr="00193864" w:rsidRDefault="00EE754D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7</w:t>
            </w:r>
            <w:r w:rsidR="0043179A" w:rsidRPr="00193864">
              <w:rPr>
                <w:sz w:val="22"/>
                <w:szCs w:val="22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4D" w:rsidRPr="00193864" w:rsidRDefault="00EE754D" w:rsidP="00EE754D">
            <w:pPr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Mal bildirim formları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4D" w:rsidRPr="00193864" w:rsidRDefault="00EE754D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EE754D" w:rsidRPr="00193864" w:rsidRDefault="00EE754D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Cezai Yaptırım.</w:t>
            </w:r>
          </w:p>
          <w:p w:rsidR="00EE754D" w:rsidRPr="00193864" w:rsidRDefault="00EE754D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Mevzuatın gerekliliklerinin yerine getirilmemesi.</w:t>
            </w:r>
          </w:p>
          <w:p w:rsidR="00EE754D" w:rsidRPr="00193864" w:rsidRDefault="00EE754D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Soruşturma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E754D" w:rsidRPr="00193864" w:rsidRDefault="00EE754D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Düşük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EE754D" w:rsidRPr="00193864" w:rsidRDefault="00EE754D" w:rsidP="00EE754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Takip işlemlerinin yasal süre içerisinde yapılması. Tüm Personelin Mal Bildirim Formlarının Takip Edilmesi</w:t>
            </w:r>
          </w:p>
        </w:tc>
      </w:tr>
      <w:tr w:rsidR="007176BC" w:rsidRPr="00193864" w:rsidTr="00E4562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176BC" w:rsidRPr="00193864" w:rsidRDefault="007176BC" w:rsidP="00EC2DD7">
            <w:pPr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8</w:t>
            </w:r>
            <w:r w:rsidR="0043179A" w:rsidRPr="00193864">
              <w:rPr>
                <w:sz w:val="22"/>
                <w:szCs w:val="22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BC" w:rsidRPr="00193864" w:rsidRDefault="007176BC" w:rsidP="00EE754D">
            <w:pPr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Akademik/İdari Personel soruşturma işlemlerinin yazışmalarının yapılması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BC" w:rsidRPr="00193864" w:rsidRDefault="007176BC" w:rsidP="00EC2DD7">
            <w:pPr>
              <w:spacing w:after="160" w:line="259" w:lineRule="auto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Personel işleri memuru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7176BC" w:rsidRPr="00193864" w:rsidRDefault="007176BC" w:rsidP="00EE754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Hak kaybı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7176BC" w:rsidRPr="00193864" w:rsidRDefault="007176BC" w:rsidP="00EC2DD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Yüksek</w:t>
            </w:r>
          </w:p>
        </w:tc>
        <w:tc>
          <w:tcPr>
            <w:tcW w:w="5109" w:type="dxa"/>
            <w:shd w:val="clear" w:color="auto" w:fill="auto"/>
            <w:vAlign w:val="center"/>
          </w:tcPr>
          <w:p w:rsidR="007176BC" w:rsidRPr="00193864" w:rsidRDefault="007176BC" w:rsidP="00EE754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93864">
              <w:rPr>
                <w:sz w:val="22"/>
                <w:szCs w:val="22"/>
              </w:rPr>
              <w:t>İlgili mevzuat doğrultusunda yasal süre içerisinde yazışma işlemlerinin yürütülmesi</w:t>
            </w:r>
          </w:p>
        </w:tc>
      </w:tr>
      <w:bookmarkEnd w:id="0"/>
    </w:tbl>
    <w:p w:rsidR="00BD54EF" w:rsidRPr="00193864" w:rsidRDefault="00BD54EF">
      <w:pPr>
        <w:rPr>
          <w:sz w:val="22"/>
          <w:szCs w:val="22"/>
        </w:rPr>
      </w:pPr>
    </w:p>
    <w:p w:rsidR="00BB30CD" w:rsidRPr="00193864" w:rsidRDefault="00BB30CD" w:rsidP="006F4107">
      <w:pPr>
        <w:spacing w:after="160" w:line="259" w:lineRule="auto"/>
        <w:rPr>
          <w:sz w:val="22"/>
          <w:szCs w:val="22"/>
        </w:rPr>
      </w:pPr>
      <w:r w:rsidRPr="00193864">
        <w:rPr>
          <w:color w:val="FF0000"/>
          <w:sz w:val="22"/>
          <w:szCs w:val="22"/>
        </w:rPr>
        <w:t>*</w:t>
      </w:r>
      <w:r w:rsidRPr="00193864">
        <w:rPr>
          <w:sz w:val="22"/>
          <w:szCs w:val="22"/>
        </w:rPr>
        <w:t xml:space="preserve">Risk düzeyi görevin ve belirlenen risklerin durumuna göre </w:t>
      </w:r>
      <w:r w:rsidRPr="00193864">
        <w:rPr>
          <w:b/>
          <w:sz w:val="22"/>
          <w:szCs w:val="22"/>
        </w:rPr>
        <w:t>Yüksek, Orta</w:t>
      </w:r>
      <w:r w:rsidRPr="00193864">
        <w:rPr>
          <w:sz w:val="22"/>
          <w:szCs w:val="22"/>
        </w:rPr>
        <w:t xml:space="preserve"> veya </w:t>
      </w:r>
      <w:r w:rsidRPr="00193864">
        <w:rPr>
          <w:b/>
          <w:sz w:val="22"/>
          <w:szCs w:val="22"/>
        </w:rPr>
        <w:t>Düşük</w:t>
      </w:r>
      <w:r w:rsidRPr="00193864">
        <w:rPr>
          <w:sz w:val="22"/>
          <w:szCs w:val="22"/>
        </w:rPr>
        <w:t xml:space="preserve"> olarak belirlenecektir.</w:t>
      </w:r>
    </w:p>
    <w:p w:rsidR="00BB30CD" w:rsidRPr="00193864" w:rsidRDefault="00BB30CD">
      <w:pPr>
        <w:rPr>
          <w:sz w:val="22"/>
          <w:szCs w:val="22"/>
        </w:rPr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193864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193864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193864">
              <w:rPr>
                <w:b/>
                <w:sz w:val="22"/>
                <w:szCs w:val="22"/>
              </w:rPr>
              <w:t>Düzenleyen</w:t>
            </w:r>
          </w:p>
          <w:p w:rsidR="00DD29AB" w:rsidRPr="00193864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193864" w:rsidRDefault="00D02A9A" w:rsidP="00DF564D">
            <w:pPr>
              <w:jc w:val="center"/>
              <w:rPr>
                <w:b/>
                <w:sz w:val="22"/>
                <w:szCs w:val="22"/>
              </w:rPr>
            </w:pPr>
            <w:r w:rsidRPr="00193864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193864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193864">
              <w:rPr>
                <w:b/>
                <w:sz w:val="22"/>
                <w:szCs w:val="22"/>
              </w:rPr>
              <w:t>Onaylayan</w:t>
            </w:r>
          </w:p>
          <w:p w:rsidR="00DD29AB" w:rsidRPr="00193864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193864" w:rsidRDefault="00D02A9A" w:rsidP="00DF564D">
            <w:pPr>
              <w:jc w:val="center"/>
              <w:rPr>
                <w:b/>
                <w:sz w:val="22"/>
                <w:szCs w:val="22"/>
              </w:rPr>
            </w:pPr>
            <w:r w:rsidRPr="00193864">
              <w:rPr>
                <w:b/>
                <w:sz w:val="22"/>
                <w:szCs w:val="22"/>
              </w:rPr>
              <w:t>Dekan</w:t>
            </w:r>
          </w:p>
        </w:tc>
      </w:tr>
    </w:tbl>
    <w:p w:rsidR="001A4EDF" w:rsidRPr="00193864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193864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12" w:rsidRDefault="00916412" w:rsidP="00770A33">
      <w:r>
        <w:separator/>
      </w:r>
    </w:p>
  </w:endnote>
  <w:endnote w:type="continuationSeparator" w:id="0">
    <w:p w:rsidR="00916412" w:rsidRDefault="00916412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12" w:rsidRDefault="00916412" w:rsidP="00770A33">
      <w:r>
        <w:separator/>
      </w:r>
    </w:p>
  </w:footnote>
  <w:footnote w:type="continuationSeparator" w:id="0">
    <w:p w:rsidR="00916412" w:rsidRDefault="00916412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43179A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C417D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87996"/>
    <w:rsid w:val="00193864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4580"/>
    <w:rsid w:val="003370C4"/>
    <w:rsid w:val="00341D84"/>
    <w:rsid w:val="00344A1B"/>
    <w:rsid w:val="003464A0"/>
    <w:rsid w:val="003502FC"/>
    <w:rsid w:val="003520F2"/>
    <w:rsid w:val="00353CF8"/>
    <w:rsid w:val="0036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3179A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0685A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107"/>
    <w:rsid w:val="006F4CF0"/>
    <w:rsid w:val="00702BC5"/>
    <w:rsid w:val="007151E0"/>
    <w:rsid w:val="007176BC"/>
    <w:rsid w:val="00731006"/>
    <w:rsid w:val="00750599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B9B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3A74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16412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120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7179E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2A9A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3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5622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44D"/>
    <w:rsid w:val="00EE1FBC"/>
    <w:rsid w:val="00EE2EF7"/>
    <w:rsid w:val="00EE754D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2B53-9EE4-4DAD-A061-CE592B1D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20</cp:revision>
  <cp:lastPrinted>2025-02-20T12:11:00Z</cp:lastPrinted>
  <dcterms:created xsi:type="dcterms:W3CDTF">2025-04-08T14:12:00Z</dcterms:created>
  <dcterms:modified xsi:type="dcterms:W3CDTF">2025-05-26T08:37:00Z</dcterms:modified>
</cp:coreProperties>
</file>