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4090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261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3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4090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261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3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4090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261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4090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261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4090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Saat:11:00’da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261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3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4090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20/06/2023 tarihinde saat:11:00’da RPD Seminer Salonu</w:t>
            </w:r>
          </w:p>
        </w:tc>
      </w:tr>
      <w:tr w:rsidR="0079542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261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3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4090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261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3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4090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4090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</w:t>
            </w:r>
            <w:r>
              <w:t>Prof. Dr. Hasan GENÇ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4090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261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3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4090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261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3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4090" w:type="dxa"/>
            <w:vAlign w:val="center"/>
          </w:tcPr>
          <w:p w:rsidR="00717E4C" w:rsidRDefault="00717E4C" w:rsidP="000C74EB">
            <w:pPr>
              <w:jc w:val="center"/>
            </w:pPr>
            <w:r>
              <w:t>01/06</w:t>
            </w:r>
            <w:bookmarkStart w:id="0" w:name="_GoBack"/>
            <w:bookmarkEnd w:id="0"/>
            <w:r>
              <w:t>/2023 tarihinde saat:13:30’da Spor Bilimleri Fakültesi Toplantı Salonu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702F7"/>
    <w:rsid w:val="00475D25"/>
    <w:rsid w:val="00477613"/>
    <w:rsid w:val="004A11FB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D76D0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94805"/>
    <w:rsid w:val="0079542C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D17DC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814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133</cp:revision>
  <dcterms:created xsi:type="dcterms:W3CDTF">2022-05-26T06:13:00Z</dcterms:created>
  <dcterms:modified xsi:type="dcterms:W3CDTF">2023-05-29T08:20:00Z</dcterms:modified>
</cp:coreProperties>
</file>