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DA1" w:rsidRPr="00410A4F" w:rsidRDefault="00D23DA1" w:rsidP="00D23DA1">
      <w:pPr>
        <w:pStyle w:val="NormalWeb"/>
        <w:shd w:val="clear" w:color="auto" w:fill="FFFFFF"/>
        <w:spacing w:before="0" w:beforeAutospacing="0" w:after="0" w:afterAutospacing="0"/>
        <w:rPr>
          <w:color w:val="444444"/>
        </w:rPr>
      </w:pPr>
      <w:bookmarkStart w:id="0" w:name="_GoBack"/>
      <w:bookmarkEnd w:id="0"/>
      <w:r w:rsidRPr="00410A4F">
        <w:rPr>
          <w:color w:val="444444"/>
        </w:rPr>
        <w:t>​</w:t>
      </w:r>
      <w:r w:rsidRPr="00410A4F">
        <w:rPr>
          <w:color w:val="444444"/>
        </w:rPr>
        <w:br/>
      </w:r>
      <w:r w:rsidRPr="00410A4F">
        <w:rPr>
          <w:b/>
          <w:bCs/>
          <w:color w:val="444444"/>
        </w:rPr>
        <w:t>GÜZ VE BAHAR DÖNEMİ EK MADDE 1 UYGULAMA İLKELERİ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Yükseköğretim Kurumlarında Ön Lisans ve Lisans Düzeyindeki Programlar Arasında Geçiş, Çift </w:t>
      </w:r>
      <w:proofErr w:type="spellStart"/>
      <w:r w:rsidRPr="00410A4F">
        <w:rPr>
          <w:color w:val="444444"/>
        </w:rPr>
        <w:t>Anadal</w:t>
      </w:r>
      <w:proofErr w:type="spellEnd"/>
      <w:r w:rsidRPr="00410A4F">
        <w:rPr>
          <w:color w:val="444444"/>
        </w:rPr>
        <w:t xml:space="preserve">, Yan Dal ile </w:t>
      </w:r>
      <w:proofErr w:type="spellStart"/>
      <w:r w:rsidRPr="00410A4F">
        <w:rPr>
          <w:color w:val="444444"/>
        </w:rPr>
        <w:t>Kurumlararası</w:t>
      </w:r>
      <w:proofErr w:type="spellEnd"/>
      <w:r w:rsidRPr="00410A4F">
        <w:rPr>
          <w:color w:val="444444"/>
        </w:rPr>
        <w:t xml:space="preserve"> Kredi Transferi Yapılması Esaslarına İlişkin Yönetmeliğin Ek Madde 1 uyarınca yapılacak yatay geçiş işlemlerinde güz ve bahar dönemi için yükseköğretim kurumları tarafından yürütülecek işlemlere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rStyle w:val="Gl"/>
          <w:color w:val="444444"/>
        </w:rPr>
        <w:t>A. GÜZ BAŞVURULARINA İLİŞKİN USUL VE ESASLAR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 Yurdumuzda ve KKTC'deki Öğrenci Seçme ve Yerleştirme Sistemi Yükseköğretim Programları ve Kontenjanları Kılavuzunda yer alan yükseköğretim kurumlarına kayıt yaptırmış adayların başvuru yapabileceğine ve yurt dışındaki diğer yükseköğretim kurumlarına kayıt yaptırmış adayların başvuramayacağına, (ÖSYS Puanı ile Türkiye'de veya KKTC'de bir yükseköğretim programına yerleşen, ancak, kayıt yaptırmadan kendi </w:t>
      </w:r>
      <w:proofErr w:type="gramStart"/>
      <w:r w:rsidRPr="00410A4F">
        <w:rPr>
          <w:color w:val="444444"/>
        </w:rPr>
        <w:t>imkanları</w:t>
      </w:r>
      <w:proofErr w:type="gramEnd"/>
      <w:r w:rsidRPr="00410A4F">
        <w:rPr>
          <w:color w:val="444444"/>
        </w:rPr>
        <w:t xml:space="preserve"> ile yurtdışı yükseköğretim kurumlarına öğrenime başlayan veya ÖSYS'ye girip Türkiye'de herhangi bir yükseköğretim programını tercih etmeden, kendi imkanları ile yurtdışı yükseköğretim kurumlarında öğrenimlerine başlayan ve öğrenci statüsünde olanların adı geçen madde kapsamında başvuru yapamayacaklarına),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2. 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3.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 de kayıt yaptırdıkları yıldaki ÖSYS/YKS puanlarını kullanarak ikinci madde kapsamında başvuru yapabileceklerine”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4.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5. Öğrencilerin Ek Madde -1 uyarınca sadece bir defa yatay geçiş yapabilmesine, (İlgili başvuru döneminden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6. İlgili yılda ÖSYS sonucunda herhangi bir yükseköğretim programına kayıt olan öğrencilerin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ÖSYS'de yerleşerek kayıt yaptıran öğrencilerin bir sonraki dönem/yılda yapılacak işlemler sırasında başvuru hakkı bulunmaktadır.)</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7. Birinci madde uyarınca yükseköğretim kurumlarında kayıtlı olan hazırlık sınıfı, ara sınıflar ve son sınıf </w:t>
      </w:r>
      <w:proofErr w:type="gramStart"/>
      <w:r w:rsidRPr="00410A4F">
        <w:rPr>
          <w:color w:val="444444"/>
        </w:rPr>
        <w:t>dahil</w:t>
      </w:r>
      <w:proofErr w:type="gramEnd"/>
      <w:r w:rsidRPr="00410A4F">
        <w:rPr>
          <w:color w:val="444444"/>
        </w:rPr>
        <w:t xml:space="preserve"> olmak üzere öğrencilerin söz konusu maddeden yararlanmasına, bu durumdaki adayların intibakının ilgili kurullar tarafından yapılmasına,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 xml:space="preserve">8. Yükseköğretim kurumlarındaki her bir diploma programının hazırlık sınıfı </w:t>
      </w:r>
      <w:proofErr w:type="gramStart"/>
      <w:r w:rsidRPr="00410A4F">
        <w:rPr>
          <w:color w:val="444444"/>
        </w:rPr>
        <w:t>dahil</w:t>
      </w:r>
      <w:proofErr w:type="gramEnd"/>
      <w:r w:rsidRPr="00410A4F">
        <w:rPr>
          <w:color w:val="444444"/>
        </w:rPr>
        <w:t xml:space="preserve"> her bir sınıfı için 90'ı geçmemek üzere Öğrenci Seçme ve Yerleştirme Sistemi Kılavuzlarında öngörülen öğrenci kontenjanının %30'u kadar kontenjan ayrılmasına (Örneğin; ÖSYS Kılavuzunda Kontenjanı 120 olan bir program için %30 u kadar 36 kontenjan ayrılacak iken, kontenjanı 400 olan bir program için %30'u 120 olmasına rağmen 90 kontenjan ayrılacaktır.)"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9. Ara sınıflarda okuyan öğrencilerin başvurması halinde başvuru yapılan yükseköğretim programına başvuru yapılan yıldaki ÖSYS kılavuzunda öğrenci alınmamışsa, başvuru yapılan programın öğrencinin öğrenim görmekte olduğu programa kayıt olduğu yıldaki ÖSYM Kılavuzunda yer alan kontenjanının dikkate alınmasına,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10. "Üniversitelerin ayrıca bir kontenjan ilan etmesinin gerekmediğine başvuruların her yıl eğitim öğretim dönemi başlamadan önce 1 Ağustostan 15 Ağustos </w:t>
      </w:r>
      <w:proofErr w:type="gramStart"/>
      <w:r w:rsidRPr="00410A4F">
        <w:rPr>
          <w:color w:val="444444"/>
        </w:rPr>
        <w:t>dahil</w:t>
      </w:r>
      <w:proofErr w:type="gramEnd"/>
      <w:r w:rsidRPr="00410A4F">
        <w:rPr>
          <w:color w:val="444444"/>
        </w:rP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11.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12. </w:t>
      </w:r>
      <w:proofErr w:type="spellStart"/>
      <w:r w:rsidRPr="00410A4F">
        <w:rPr>
          <w:color w:val="444444"/>
        </w:rPr>
        <w:t>Önlisans</w:t>
      </w:r>
      <w:proofErr w:type="spellEnd"/>
      <w:r w:rsidRPr="00410A4F">
        <w:rPr>
          <w:color w:val="444444"/>
        </w:rPr>
        <w:t xml:space="preserve">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13. DGS puanı ile sadece DGS Kılavuzlarında tanımlanan </w:t>
      </w:r>
      <w:proofErr w:type="spellStart"/>
      <w:r w:rsidRPr="00410A4F">
        <w:rPr>
          <w:color w:val="444444"/>
        </w:rPr>
        <w:t>önlisans</w:t>
      </w:r>
      <w:proofErr w:type="spellEnd"/>
      <w:r w:rsidRPr="00410A4F">
        <w:rPr>
          <w:color w:val="444444"/>
        </w:rPr>
        <w:t xml:space="preserve"> alanlarının devam edebileceği yükseköğretim lisans programlarına başvuru yapılabileceği ve adayların ilgili yıl için programın DGS puanına sahip olmaları gerektiği ile ilgili yılda DGS ile öğrenci alınmamışsa öğrencilerin o programa başvuru yapamayacağına,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14. Yükseköğretim kurumlarındaki </w:t>
      </w:r>
      <w:proofErr w:type="gramStart"/>
      <w:r w:rsidRPr="00410A4F">
        <w:rPr>
          <w:color w:val="444444"/>
        </w:rPr>
        <w:t>M.T.O</w:t>
      </w:r>
      <w:proofErr w:type="gramEnd"/>
      <w:r w:rsidRPr="00410A4F">
        <w:rPr>
          <w:color w:val="444444"/>
        </w:rPr>
        <w:t>.K.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 xml:space="preserve">15.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w:t>
      </w:r>
      <w:proofErr w:type="gramStart"/>
      <w:r w:rsidRPr="00410A4F">
        <w:rPr>
          <w:color w:val="444444"/>
        </w:rPr>
        <w:t>yerleşen</w:t>
      </w:r>
      <w:proofErr w:type="gramEnd"/>
      <w:r w:rsidRPr="00410A4F">
        <w:rPr>
          <w:color w:val="444444"/>
        </w:rPr>
        <w:t xml:space="preserve">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 ulaşılabilecektir)</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16. Ek Madde 1 uyarınca yatay geçiş için başvuran öğrencilerin ÖSYS Kılavuzunda programa kayıt olabilmeleri için aranan özel koşulların bulunması durumunda, bu koşulları sağlamaları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lastRenderedPageBreak/>
        <w:t>17.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18. Öğretim dili Türkçe programdan tamamen veya kısmen yabancı dilde eğitim yapan programlara geçişte öğrencinin yabancı dil şartını sağlaması gerektiğine, hazırlık sınıfında veya birinci sınıfta geçiş yapmak isteyen öğrencilerin yabancı dil şartını sağlamaması durumunda yabancı dil hazırlık eğitimi almaları gerektiğine,</w:t>
      </w:r>
    </w:p>
    <w:p w:rsidR="00D23DA1" w:rsidRPr="00410A4F" w:rsidRDefault="00D23DA1" w:rsidP="00D23DA1">
      <w:pPr>
        <w:pStyle w:val="NormalWeb"/>
        <w:shd w:val="clear" w:color="auto" w:fill="FFFFFF"/>
        <w:spacing w:before="0" w:beforeAutospacing="0" w:after="150" w:afterAutospacing="0"/>
        <w:jc w:val="both"/>
        <w:rPr>
          <w:color w:val="444444"/>
        </w:rPr>
      </w:pPr>
      <w:proofErr w:type="gramStart"/>
      <w:r w:rsidRPr="00410A4F">
        <w:rPr>
          <w:color w:val="444444"/>
        </w:rPr>
        <w:t>19.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roofErr w:type="gramEnd"/>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20. Başvuruların değerlendirilmesinde sadece öğrencinin kayıtlı olduğu programa yerleştiği yıldaki ÖSYM merkezi yerleştirme puanlarının dikkate alınmasına, başarı vb. şart aranmamasına,</w:t>
      </w:r>
    </w:p>
    <w:p w:rsidR="00D23DA1" w:rsidRPr="00410A4F" w:rsidRDefault="00D23DA1" w:rsidP="00D23DA1">
      <w:pPr>
        <w:pStyle w:val="NormalWeb"/>
        <w:shd w:val="clear" w:color="auto" w:fill="FFFFFF"/>
        <w:spacing w:before="0" w:beforeAutospacing="0" w:after="150" w:afterAutospacing="0"/>
        <w:jc w:val="both"/>
        <w:rPr>
          <w:color w:val="444444"/>
        </w:rPr>
      </w:pPr>
      <w:r w:rsidRPr="00410A4F">
        <w:rPr>
          <w:color w:val="444444"/>
        </w:rPr>
        <w:t>21. Söz konusu ilkeler uyarınca Vakıf yükseköğretim kurumlarına yatay geçiş işlemlerinde öğrencilerin ücretli programlara yatay geçiş yapabileceğine, burs verip vermeme kararının ilgili yükseköğretim kurumlarının yetkisinde olduğuna</w:t>
      </w:r>
    </w:p>
    <w:p w:rsidR="004B719D" w:rsidRPr="00410A4F" w:rsidRDefault="004B719D">
      <w:pPr>
        <w:rPr>
          <w:rFonts w:ascii="Times New Roman" w:hAnsi="Times New Roman" w:cs="Times New Roman"/>
          <w:sz w:val="24"/>
          <w:szCs w:val="24"/>
        </w:rPr>
      </w:pPr>
    </w:p>
    <w:sectPr w:rsidR="004B719D" w:rsidRPr="00410A4F" w:rsidSect="008655D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A1"/>
    <w:rsid w:val="002E4DEA"/>
    <w:rsid w:val="00410A4F"/>
    <w:rsid w:val="00465520"/>
    <w:rsid w:val="004B719D"/>
    <w:rsid w:val="008655D0"/>
    <w:rsid w:val="00D23D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2CDB4-5EE6-4E85-9D90-6F0F501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3DA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3D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dc:creator>
  <cp:keywords/>
  <dc:description/>
  <cp:lastModifiedBy>USER</cp:lastModifiedBy>
  <cp:revision>2</cp:revision>
  <dcterms:created xsi:type="dcterms:W3CDTF">2022-01-10T10:35:00Z</dcterms:created>
  <dcterms:modified xsi:type="dcterms:W3CDTF">2022-01-10T10:35:00Z</dcterms:modified>
</cp:coreProperties>
</file>