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FE" w:rsidRPr="00DF7F3E" w:rsidRDefault="00BE1820"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 xml:space="preserve">2022 </w:t>
      </w:r>
      <w:r w:rsidR="00CE1CF7" w:rsidRPr="00DF7F3E">
        <w:rPr>
          <w:rFonts w:ascii="Cambria" w:hAnsi="Cambria" w:cs="Times New Roman"/>
          <w:b/>
          <w:color w:val="171717" w:themeColor="background2" w:themeShade="1A"/>
          <w:szCs w:val="24"/>
        </w:rPr>
        <w:t xml:space="preserve">PROJE </w:t>
      </w:r>
      <w:r w:rsidR="005323FE" w:rsidRPr="00DF7F3E">
        <w:rPr>
          <w:rFonts w:ascii="Cambria" w:hAnsi="Cambria" w:cs="Times New Roman"/>
          <w:b/>
          <w:color w:val="171717" w:themeColor="background2" w:themeShade="1A"/>
          <w:szCs w:val="24"/>
        </w:rPr>
        <w:t>DÖNEMİ</w:t>
      </w:r>
    </w:p>
    <w:p w:rsidR="005323FE" w:rsidRPr="00DF7F3E" w:rsidRDefault="00BE1820"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KA171 ERASMUS+ PROGRAMI (Programla İlişkili Olmayan Üçüncü Ülkeler</w:t>
      </w:r>
      <w:r w:rsidR="00CE1CF7" w:rsidRPr="00DF7F3E">
        <w:rPr>
          <w:rFonts w:ascii="Cambria" w:hAnsi="Cambria" w:cs="Times New Roman"/>
          <w:b/>
          <w:color w:val="171717" w:themeColor="background2" w:themeShade="1A"/>
          <w:szCs w:val="24"/>
        </w:rPr>
        <w:t>)</w:t>
      </w:r>
    </w:p>
    <w:p w:rsidR="00CE1CF7"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PERSONEL HAREKETLİLİĞİ</w:t>
      </w:r>
      <w:r w:rsidR="005323FE" w:rsidRPr="00DF7F3E">
        <w:rPr>
          <w:rFonts w:ascii="Cambria" w:hAnsi="Cambria" w:cs="Times New Roman"/>
          <w:b/>
          <w:color w:val="171717" w:themeColor="background2" w:themeShade="1A"/>
          <w:szCs w:val="24"/>
        </w:rPr>
        <w:t xml:space="preserve"> BAŞVURU İLANI</w:t>
      </w:r>
    </w:p>
    <w:p w:rsidR="005323FE" w:rsidRPr="00DF7F3E" w:rsidRDefault="005323FE" w:rsidP="00DF7F3E">
      <w:pPr>
        <w:spacing w:after="0" w:line="276" w:lineRule="auto"/>
        <w:jc w:val="center"/>
        <w:rPr>
          <w:rFonts w:ascii="Cambria" w:hAnsi="Cambria" w:cs="Times New Roman"/>
          <w:b/>
          <w:color w:val="171717" w:themeColor="background2" w:themeShade="1A"/>
          <w:szCs w:val="24"/>
        </w:rPr>
      </w:pPr>
    </w:p>
    <w:p w:rsidR="00CE1CF7" w:rsidRPr="002B0E65" w:rsidRDefault="00BE1820" w:rsidP="00DF7F3E">
      <w:pPr>
        <w:spacing w:line="276" w:lineRule="auto"/>
        <w:jc w:val="both"/>
      </w:pPr>
      <w:r>
        <w:rPr>
          <w:rFonts w:ascii="Cambria" w:hAnsi="Cambria" w:cs="Times New Roman"/>
          <w:color w:val="171717" w:themeColor="background2" w:themeShade="1A"/>
          <w:szCs w:val="24"/>
        </w:rPr>
        <w:t xml:space="preserve">2022 </w:t>
      </w:r>
      <w:r w:rsidR="00CE1CF7" w:rsidRPr="00DF7F3E">
        <w:rPr>
          <w:rFonts w:ascii="Cambria" w:hAnsi="Cambria" w:cs="Times New Roman"/>
          <w:color w:val="171717" w:themeColor="background2" w:themeShade="1A"/>
          <w:szCs w:val="24"/>
        </w:rPr>
        <w:t xml:space="preserve">Proje Yılı </w:t>
      </w:r>
      <w:r w:rsidR="002D40DE">
        <w:rPr>
          <w:rFonts w:ascii="Cambria" w:hAnsi="Cambria" w:cs="Times New Roman"/>
          <w:color w:val="171717" w:themeColor="background2" w:themeShade="1A"/>
          <w:szCs w:val="24"/>
        </w:rPr>
        <w:t xml:space="preserve">KA171 </w:t>
      </w:r>
      <w:proofErr w:type="spellStart"/>
      <w:r w:rsidR="00CE1CF7" w:rsidRPr="00DF7F3E">
        <w:rPr>
          <w:rFonts w:ascii="Cambria" w:hAnsi="Cambria" w:cs="Times New Roman"/>
          <w:color w:val="171717" w:themeColor="background2" w:themeShade="1A"/>
          <w:szCs w:val="24"/>
        </w:rPr>
        <w:t>Erasmus</w:t>
      </w:r>
      <w:proofErr w:type="spellEnd"/>
      <w:r w:rsidR="00CE1CF7" w:rsidRPr="00DF7F3E">
        <w:rPr>
          <w:rFonts w:ascii="Cambria" w:hAnsi="Cambria" w:cs="Times New Roman"/>
          <w:color w:val="171717" w:themeColor="background2" w:themeShade="1A"/>
          <w:szCs w:val="24"/>
        </w:rPr>
        <w:t>+ Programı Personel Ders V</w:t>
      </w:r>
      <w:r w:rsidR="005323FE" w:rsidRPr="00DF7F3E">
        <w:rPr>
          <w:rFonts w:ascii="Cambria" w:hAnsi="Cambria" w:cs="Times New Roman"/>
          <w:color w:val="171717" w:themeColor="background2" w:themeShade="1A"/>
          <w:szCs w:val="24"/>
        </w:rPr>
        <w:t>erme/Eğitim Alma Hareketliliği B</w:t>
      </w:r>
      <w:r w:rsidR="00CE1CF7" w:rsidRPr="00DF7F3E">
        <w:rPr>
          <w:rFonts w:ascii="Cambria" w:hAnsi="Cambria" w:cs="Times New Roman"/>
          <w:color w:val="171717" w:themeColor="background2" w:themeShade="1A"/>
          <w:szCs w:val="24"/>
        </w:rPr>
        <w:t>aşvurular</w:t>
      </w:r>
      <w:r w:rsidR="005323FE" w:rsidRPr="00DF7F3E">
        <w:rPr>
          <w:rFonts w:ascii="Cambria" w:hAnsi="Cambria" w:cs="Times New Roman"/>
          <w:color w:val="171717" w:themeColor="background2" w:themeShade="1A"/>
          <w:szCs w:val="24"/>
        </w:rPr>
        <w:t>ı</w:t>
      </w:r>
      <w:r w:rsidR="00CE1CF7" w:rsidRPr="00DF7F3E">
        <w:rPr>
          <w:rFonts w:ascii="Cambria" w:hAnsi="Cambria" w:cs="Times New Roman"/>
          <w:color w:val="171717" w:themeColor="background2" w:themeShade="1A"/>
          <w:szCs w:val="24"/>
        </w:rPr>
        <w:t xml:space="preserve"> </w:t>
      </w:r>
      <w:r w:rsidR="008850E6">
        <w:rPr>
          <w:rFonts w:ascii="Cambria" w:hAnsi="Cambria" w:cs="Times New Roman"/>
          <w:b/>
          <w:color w:val="171717" w:themeColor="background2" w:themeShade="1A"/>
          <w:szCs w:val="24"/>
          <w:highlight w:val="yellow"/>
        </w:rPr>
        <w:t>25.11.2024 – 09.11</w:t>
      </w:r>
      <w:r w:rsidRPr="00BE1820">
        <w:rPr>
          <w:rFonts w:ascii="Cambria" w:hAnsi="Cambria" w:cs="Times New Roman"/>
          <w:b/>
          <w:color w:val="171717" w:themeColor="background2" w:themeShade="1A"/>
          <w:szCs w:val="24"/>
          <w:highlight w:val="yellow"/>
        </w:rPr>
        <w:t>.2024</w:t>
      </w:r>
      <w:r w:rsidR="002D40DE">
        <w:rPr>
          <w:rFonts w:ascii="Cambria" w:hAnsi="Cambria" w:cs="Times New Roman"/>
          <w:b/>
          <w:color w:val="171717" w:themeColor="background2" w:themeShade="1A"/>
          <w:szCs w:val="24"/>
          <w:highlight w:val="yellow"/>
        </w:rPr>
        <w:t xml:space="preserve"> </w:t>
      </w:r>
      <w:r w:rsidR="004372D7" w:rsidRPr="00BE1820">
        <w:rPr>
          <w:rFonts w:ascii="Cambria" w:hAnsi="Cambria" w:cs="Times New Roman"/>
          <w:color w:val="171717" w:themeColor="background2" w:themeShade="1A"/>
          <w:szCs w:val="24"/>
          <w:highlight w:val="yellow"/>
        </w:rPr>
        <w:t xml:space="preserve">tarihleri </w:t>
      </w:r>
      <w:r w:rsidR="004372D7" w:rsidRPr="002B0E65">
        <w:rPr>
          <w:rFonts w:ascii="Cambria" w:hAnsi="Cambria" w:cs="Times New Roman"/>
          <w:color w:val="171717" w:themeColor="background2" w:themeShade="1A"/>
          <w:szCs w:val="24"/>
          <w:highlight w:val="yellow"/>
        </w:rPr>
        <w:t xml:space="preserve">arasında </w:t>
      </w:r>
      <w:r w:rsidR="002B0E65" w:rsidRPr="002B0E65">
        <w:rPr>
          <w:highlight w:val="yellow"/>
        </w:rPr>
        <w:t>turnaportal.ua.gov.tr</w:t>
      </w:r>
      <w:r w:rsidR="004372D7" w:rsidRPr="002B0E65">
        <w:rPr>
          <w:rFonts w:ascii="Cambria" w:hAnsi="Cambria" w:cs="Times New Roman"/>
          <w:color w:val="171717" w:themeColor="background2" w:themeShade="1A"/>
          <w:szCs w:val="24"/>
          <w:highlight w:val="yellow"/>
        </w:rPr>
        <w:t xml:space="preserve"> adresinden </w:t>
      </w:r>
      <w:r w:rsidR="004372D7" w:rsidRPr="004372D7">
        <w:rPr>
          <w:rFonts w:ascii="Cambria" w:hAnsi="Cambria" w:cs="Times New Roman"/>
          <w:color w:val="171717" w:themeColor="background2" w:themeShade="1A"/>
          <w:szCs w:val="24"/>
          <w:highlight w:val="yellow"/>
        </w:rPr>
        <w:t xml:space="preserve">E-devlet kullanıcı bilgileri girilerek yapılacaktır.        </w:t>
      </w:r>
    </w:p>
    <w:p w:rsidR="004372D7" w:rsidRDefault="00CE1CF7"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Başvurular </w:t>
      </w:r>
      <w:r w:rsidR="008850E6">
        <w:rPr>
          <w:rFonts w:ascii="Cambria" w:hAnsi="Cambria" w:cs="Times New Roman"/>
          <w:color w:val="171717" w:themeColor="background2" w:themeShade="1A"/>
          <w:szCs w:val="24"/>
        </w:rPr>
        <w:t>09 Kasım</w:t>
      </w:r>
      <w:r w:rsidR="00FC7CCB">
        <w:rPr>
          <w:rFonts w:ascii="Cambria" w:hAnsi="Cambria" w:cs="Times New Roman"/>
          <w:color w:val="171717" w:themeColor="background2" w:themeShade="1A"/>
          <w:szCs w:val="24"/>
        </w:rPr>
        <w:t xml:space="preserve"> 2024 tarihinde saat 17:0</w:t>
      </w:r>
      <w:r w:rsidRPr="00DF7F3E">
        <w:rPr>
          <w:rFonts w:ascii="Cambria" w:hAnsi="Cambria" w:cs="Times New Roman"/>
          <w:color w:val="171717" w:themeColor="background2" w:themeShade="1A"/>
          <w:szCs w:val="24"/>
        </w:rPr>
        <w:t xml:space="preserve">0’da sonlanacak olup, </w:t>
      </w:r>
      <w:r w:rsidR="00C21079" w:rsidRPr="00DF7F3E">
        <w:rPr>
          <w:rFonts w:ascii="Cambria" w:hAnsi="Cambria" w:cs="Times New Roman"/>
          <w:color w:val="171717" w:themeColor="background2" w:themeShade="1A"/>
          <w:szCs w:val="24"/>
        </w:rPr>
        <w:t>belirlenen başvuru tarih</w:t>
      </w:r>
      <w:r w:rsidR="00301BEF">
        <w:rPr>
          <w:rFonts w:ascii="Cambria" w:hAnsi="Cambria" w:cs="Times New Roman"/>
          <w:color w:val="171717" w:themeColor="background2" w:themeShade="1A"/>
          <w:szCs w:val="24"/>
        </w:rPr>
        <w:t>leri arasında gerekli evrakın</w:t>
      </w:r>
      <w:r w:rsidR="00C21079" w:rsidRPr="00DF7F3E">
        <w:rPr>
          <w:rFonts w:ascii="Cambria" w:hAnsi="Cambria" w:cs="Times New Roman"/>
          <w:color w:val="171717" w:themeColor="background2" w:themeShade="1A"/>
          <w:szCs w:val="24"/>
        </w:rPr>
        <w:t xml:space="preserve"> sisteme yüklenmesi gerekmektedir. </w:t>
      </w:r>
    </w:p>
    <w:p w:rsidR="00540328" w:rsidRPr="00DF7F3E" w:rsidRDefault="004372D7" w:rsidP="00DF7F3E">
      <w:pPr>
        <w:spacing w:line="276" w:lineRule="auto"/>
        <w:jc w:val="both"/>
        <w:rPr>
          <w:rFonts w:ascii="Cambria" w:hAnsi="Cambria" w:cs="Times New Roman"/>
          <w:color w:val="171717" w:themeColor="background2" w:themeShade="1A"/>
          <w:szCs w:val="24"/>
        </w:rPr>
      </w:pPr>
      <w:r w:rsidRPr="004372D7">
        <w:rPr>
          <w:rFonts w:ascii="Cambria" w:hAnsi="Cambria" w:cs="Times New Roman"/>
          <w:b/>
          <w:color w:val="C00000"/>
          <w:szCs w:val="24"/>
        </w:rPr>
        <w:t>ÖNEMLİ!</w:t>
      </w:r>
      <w:r w:rsidRPr="004372D7">
        <w:rPr>
          <w:rFonts w:ascii="Cambria" w:hAnsi="Cambria" w:cs="Times New Roman"/>
          <w:color w:val="C00000"/>
          <w:szCs w:val="24"/>
        </w:rPr>
        <w:t xml:space="preserve"> </w:t>
      </w:r>
      <w:r w:rsidR="00C21079" w:rsidRPr="00DF7F3E">
        <w:rPr>
          <w:rFonts w:ascii="Cambria" w:hAnsi="Cambria" w:cs="Times New Roman"/>
          <w:color w:val="171717" w:themeColor="background2" w:themeShade="1A"/>
          <w:szCs w:val="24"/>
        </w:rPr>
        <w:t>Gerekli evrak</w:t>
      </w:r>
      <w:r w:rsidR="00820568">
        <w:rPr>
          <w:rFonts w:ascii="Cambria" w:hAnsi="Cambria" w:cs="Times New Roman"/>
          <w:color w:val="171717" w:themeColor="background2" w:themeShade="1A"/>
          <w:szCs w:val="24"/>
        </w:rPr>
        <w:t>ın</w:t>
      </w:r>
      <w:r w:rsidR="00C21079" w:rsidRPr="00DF7F3E">
        <w:rPr>
          <w:rFonts w:ascii="Cambria" w:hAnsi="Cambria" w:cs="Times New Roman"/>
          <w:color w:val="171717" w:themeColor="background2" w:themeShade="1A"/>
          <w:szCs w:val="24"/>
        </w:rPr>
        <w:t xml:space="preserve"> sisteme yüklenmemes</w:t>
      </w:r>
      <w:r>
        <w:rPr>
          <w:rFonts w:ascii="Cambria" w:hAnsi="Cambria" w:cs="Times New Roman"/>
          <w:color w:val="171717" w:themeColor="background2" w:themeShade="1A"/>
          <w:szCs w:val="24"/>
        </w:rPr>
        <w:t>i</w:t>
      </w:r>
      <w:r w:rsidR="001C649A">
        <w:rPr>
          <w:rFonts w:ascii="Cambria" w:hAnsi="Cambria" w:cs="Calibri"/>
          <w:color w:val="171717" w:themeColor="background2" w:themeShade="1A"/>
          <w:sz w:val="24"/>
          <w:szCs w:val="24"/>
        </w:rPr>
        <w:t xml:space="preserve">, başvuruların tamamlanmaması ya da </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güncelle</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 xml:space="preserve"> durumunda kalması halinde başvurular geçersiz sayılacaktır.</w:t>
      </w:r>
    </w:p>
    <w:p w:rsidR="00540328" w:rsidRDefault="00540328"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KONTENJANLAR</w:t>
      </w:r>
    </w:p>
    <w:p w:rsidR="00E078CF" w:rsidRDefault="00E078CF" w:rsidP="00DF7F3E">
      <w:pP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 xml:space="preserve">Kontenjanlar, </w:t>
      </w:r>
      <w:r w:rsidR="00B60F3A">
        <w:rPr>
          <w:rFonts w:ascii="Cambria" w:hAnsi="Cambria" w:cs="Times New Roman"/>
          <w:b/>
          <w:color w:val="171717" w:themeColor="background2" w:themeShade="1A"/>
          <w:szCs w:val="24"/>
        </w:rPr>
        <w:t xml:space="preserve">2022 </w:t>
      </w:r>
      <w:r>
        <w:rPr>
          <w:rFonts w:ascii="Cambria" w:hAnsi="Cambria" w:cs="Times New Roman"/>
          <w:b/>
          <w:color w:val="171717" w:themeColor="background2" w:themeShade="1A"/>
          <w:szCs w:val="24"/>
        </w:rPr>
        <w:t>Proje Yılı için Üniversitemize tahsis edilen hibe doğrultusunda Ulusal Ajans tarafından belirlenmiştir.</w:t>
      </w:r>
    </w:p>
    <w:tbl>
      <w:tblPr>
        <w:tblStyle w:val="TabloKlavuzu1"/>
        <w:tblW w:w="9368" w:type="dxa"/>
        <w:tblLook w:val="04A0" w:firstRow="1" w:lastRow="0" w:firstColumn="1" w:lastColumn="0" w:noHBand="0" w:noVBand="1"/>
      </w:tblPr>
      <w:tblGrid>
        <w:gridCol w:w="1454"/>
        <w:gridCol w:w="1625"/>
        <w:gridCol w:w="1284"/>
        <w:gridCol w:w="1529"/>
        <w:gridCol w:w="1142"/>
        <w:gridCol w:w="687"/>
        <w:gridCol w:w="1647"/>
      </w:tblGrid>
      <w:tr w:rsidR="002D40DE" w:rsidRPr="002D40DE" w:rsidTr="00532AE2">
        <w:trPr>
          <w:trHeight w:val="833"/>
        </w:trPr>
        <w:tc>
          <w:tcPr>
            <w:tcW w:w="1454"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ÜLKE</w:t>
            </w:r>
          </w:p>
        </w:tc>
        <w:tc>
          <w:tcPr>
            <w:tcW w:w="1625"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ÜNİVERSİTE</w:t>
            </w:r>
          </w:p>
        </w:tc>
        <w:tc>
          <w:tcPr>
            <w:tcW w:w="1284"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Hareketlilik Türü</w:t>
            </w:r>
          </w:p>
        </w:tc>
        <w:tc>
          <w:tcPr>
            <w:tcW w:w="152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Hareketlilikten faydalanmak için son tarih</w:t>
            </w:r>
          </w:p>
        </w:tc>
        <w:tc>
          <w:tcPr>
            <w:tcW w:w="1142"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Kontenjan</w:t>
            </w:r>
          </w:p>
        </w:tc>
        <w:tc>
          <w:tcPr>
            <w:tcW w:w="68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Proje Yılı</w:t>
            </w:r>
          </w:p>
        </w:tc>
        <w:tc>
          <w:tcPr>
            <w:tcW w:w="164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Bölüm/Program</w:t>
            </w:r>
          </w:p>
        </w:tc>
      </w:tr>
      <w:tr w:rsidR="002D40DE" w:rsidRPr="002D40DE" w:rsidTr="00532AE2">
        <w:trPr>
          <w:trHeight w:val="572"/>
        </w:trPr>
        <w:tc>
          <w:tcPr>
            <w:tcW w:w="1454" w:type="dxa"/>
          </w:tcPr>
          <w:p w:rsidR="002D40DE" w:rsidRPr="002D40DE" w:rsidRDefault="00532AE2" w:rsidP="002D40DE">
            <w:pPr>
              <w:rPr>
                <w:rFonts w:ascii="Calibri" w:eastAsia="Calibri" w:hAnsi="Calibri" w:cs="Times New Roman"/>
              </w:rPr>
            </w:pPr>
            <w:r>
              <w:rPr>
                <w:rFonts w:ascii="Calibri" w:eastAsia="Calibri" w:hAnsi="Calibri" w:cs="Times New Roman"/>
              </w:rPr>
              <w:t>ARNAVUTLUK</w:t>
            </w:r>
          </w:p>
        </w:tc>
        <w:tc>
          <w:tcPr>
            <w:tcW w:w="1625"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AGRICULTURAL UNIVERSITY OF TIRANA</w:t>
            </w:r>
          </w:p>
        </w:tc>
        <w:tc>
          <w:tcPr>
            <w:tcW w:w="1284" w:type="dxa"/>
          </w:tcPr>
          <w:p w:rsidR="002D40DE" w:rsidRPr="002D40DE" w:rsidRDefault="00532AE2" w:rsidP="002D40DE">
            <w:pPr>
              <w:rPr>
                <w:rFonts w:ascii="Calibri" w:eastAsia="Calibri" w:hAnsi="Calibri" w:cs="Times New Roman"/>
              </w:rPr>
            </w:pPr>
            <w:r>
              <w:rPr>
                <w:rFonts w:ascii="Calibri" w:eastAsia="Calibri" w:hAnsi="Calibri" w:cs="Times New Roman"/>
              </w:rPr>
              <w:t>Ders Verme</w:t>
            </w:r>
            <w:r w:rsidR="002D40DE" w:rsidRPr="002D40DE">
              <w:rPr>
                <w:rFonts w:ascii="Calibri" w:eastAsia="Calibri" w:hAnsi="Calibri" w:cs="Times New Roman"/>
              </w:rPr>
              <w:t xml:space="preserve"> Hareketliliği</w:t>
            </w:r>
          </w:p>
        </w:tc>
        <w:tc>
          <w:tcPr>
            <w:tcW w:w="1529" w:type="dxa"/>
          </w:tcPr>
          <w:p w:rsidR="002D40DE" w:rsidRPr="002D40DE" w:rsidRDefault="00532AE2" w:rsidP="002D40DE">
            <w:pPr>
              <w:rPr>
                <w:rFonts w:ascii="Calibri" w:eastAsia="Calibri" w:hAnsi="Calibri" w:cs="Times New Roman"/>
              </w:rPr>
            </w:pPr>
            <w:r>
              <w:rPr>
                <w:rFonts w:ascii="Calibri" w:eastAsia="Calibri" w:hAnsi="Calibri" w:cs="Times New Roman"/>
              </w:rPr>
              <w:t>31.07</w:t>
            </w:r>
            <w:r w:rsidR="002D40DE" w:rsidRPr="002D40DE">
              <w:rPr>
                <w:rFonts w:ascii="Calibri" w:eastAsia="Calibri" w:hAnsi="Calibri" w:cs="Times New Roman"/>
              </w:rPr>
              <w:t>.2025</w:t>
            </w:r>
          </w:p>
        </w:tc>
        <w:tc>
          <w:tcPr>
            <w:tcW w:w="1142"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68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2022</w:t>
            </w:r>
          </w:p>
        </w:tc>
        <w:tc>
          <w:tcPr>
            <w:tcW w:w="164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Gıda Mühendisliği</w:t>
            </w:r>
          </w:p>
        </w:tc>
      </w:tr>
      <w:tr w:rsidR="002D40DE" w:rsidRPr="002D40DE" w:rsidTr="00532AE2">
        <w:trPr>
          <w:trHeight w:val="547"/>
        </w:trPr>
        <w:tc>
          <w:tcPr>
            <w:tcW w:w="1454" w:type="dxa"/>
          </w:tcPr>
          <w:p w:rsidR="002D40DE" w:rsidRPr="002D40DE" w:rsidRDefault="00532AE2" w:rsidP="002D40DE">
            <w:pPr>
              <w:rPr>
                <w:rFonts w:ascii="Calibri" w:eastAsia="Calibri" w:hAnsi="Calibri" w:cs="Times New Roman"/>
              </w:rPr>
            </w:pPr>
            <w:r>
              <w:rPr>
                <w:rFonts w:ascii="Calibri" w:eastAsia="Calibri" w:hAnsi="Calibri" w:cs="Times New Roman"/>
              </w:rPr>
              <w:t>Özbekistan</w:t>
            </w:r>
          </w:p>
        </w:tc>
        <w:tc>
          <w:tcPr>
            <w:tcW w:w="1625" w:type="dxa"/>
          </w:tcPr>
          <w:p w:rsidR="002D40DE" w:rsidRPr="002D40DE" w:rsidRDefault="00532AE2" w:rsidP="002D40DE">
            <w:pPr>
              <w:rPr>
                <w:rFonts w:ascii="Calibri" w:eastAsia="Calibri" w:hAnsi="Calibri" w:cs="Times New Roman"/>
              </w:rPr>
            </w:pPr>
            <w:r>
              <w:rPr>
                <w:rFonts w:ascii="Calibri" w:eastAsia="Calibri" w:hAnsi="Calibri" w:cs="Times New Roman"/>
              </w:rPr>
              <w:t>SAMARKAND STATE INSTITUTE OF FOREIGN LANGUAGES</w:t>
            </w:r>
          </w:p>
        </w:tc>
        <w:tc>
          <w:tcPr>
            <w:tcW w:w="1284" w:type="dxa"/>
          </w:tcPr>
          <w:p w:rsidR="002D40DE" w:rsidRPr="002D40DE" w:rsidRDefault="00532AE2" w:rsidP="002D40DE">
            <w:pPr>
              <w:rPr>
                <w:rFonts w:ascii="Calibri" w:eastAsia="Calibri" w:hAnsi="Calibri" w:cs="Times New Roman"/>
              </w:rPr>
            </w:pPr>
            <w:r>
              <w:rPr>
                <w:rFonts w:ascii="Calibri" w:eastAsia="Calibri" w:hAnsi="Calibri" w:cs="Times New Roman"/>
              </w:rPr>
              <w:t>Ders Verme Hareketliliği</w:t>
            </w:r>
          </w:p>
        </w:tc>
        <w:tc>
          <w:tcPr>
            <w:tcW w:w="1529" w:type="dxa"/>
          </w:tcPr>
          <w:p w:rsidR="002D40DE" w:rsidRPr="002D40DE" w:rsidRDefault="00532AE2" w:rsidP="002D40DE">
            <w:pPr>
              <w:rPr>
                <w:rFonts w:ascii="Calibri" w:eastAsia="Calibri" w:hAnsi="Calibri" w:cs="Times New Roman"/>
              </w:rPr>
            </w:pPr>
            <w:r>
              <w:rPr>
                <w:rFonts w:ascii="Calibri" w:eastAsia="Calibri" w:hAnsi="Calibri" w:cs="Times New Roman"/>
              </w:rPr>
              <w:t>31.07.2025</w:t>
            </w:r>
          </w:p>
        </w:tc>
        <w:tc>
          <w:tcPr>
            <w:tcW w:w="1142"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687" w:type="dxa"/>
          </w:tcPr>
          <w:p w:rsidR="002D40DE" w:rsidRPr="002D40DE" w:rsidRDefault="00532AE2" w:rsidP="002D40DE">
            <w:pPr>
              <w:rPr>
                <w:rFonts w:ascii="Calibri" w:eastAsia="Calibri" w:hAnsi="Calibri" w:cs="Times New Roman"/>
              </w:rPr>
            </w:pPr>
            <w:r>
              <w:rPr>
                <w:rFonts w:ascii="Calibri" w:eastAsia="Calibri" w:hAnsi="Calibri" w:cs="Times New Roman"/>
              </w:rPr>
              <w:t>2022</w:t>
            </w:r>
          </w:p>
        </w:tc>
        <w:tc>
          <w:tcPr>
            <w:tcW w:w="1647" w:type="dxa"/>
          </w:tcPr>
          <w:p w:rsidR="002D40DE" w:rsidRPr="002D40DE" w:rsidRDefault="00532AE2" w:rsidP="002D40DE">
            <w:pPr>
              <w:rPr>
                <w:rFonts w:ascii="Calibri" w:eastAsia="Calibri" w:hAnsi="Calibri" w:cs="Times New Roman"/>
              </w:rPr>
            </w:pPr>
            <w:proofErr w:type="spellStart"/>
            <w:r>
              <w:rPr>
                <w:rFonts w:ascii="Calibri" w:eastAsia="Calibri" w:hAnsi="Calibri" w:cs="Times New Roman"/>
              </w:rPr>
              <w:t>Turk</w:t>
            </w:r>
            <w:proofErr w:type="spellEnd"/>
            <w:r>
              <w:rPr>
                <w:rFonts w:ascii="Calibri" w:eastAsia="Calibri" w:hAnsi="Calibri" w:cs="Times New Roman"/>
              </w:rPr>
              <w:t xml:space="preserve"> </w:t>
            </w:r>
            <w:proofErr w:type="spellStart"/>
            <w:r>
              <w:rPr>
                <w:rFonts w:ascii="Calibri" w:eastAsia="Calibri" w:hAnsi="Calibri" w:cs="Times New Roman"/>
              </w:rPr>
              <w:t>Dilive</w:t>
            </w:r>
            <w:proofErr w:type="spellEnd"/>
            <w:r>
              <w:rPr>
                <w:rFonts w:ascii="Calibri" w:eastAsia="Calibri" w:hAnsi="Calibri" w:cs="Times New Roman"/>
              </w:rPr>
              <w:t xml:space="preserve"> Edebiyatı Bölümü</w:t>
            </w:r>
          </w:p>
        </w:tc>
      </w:tr>
    </w:tbl>
    <w:p w:rsidR="00540328" w:rsidRPr="00DF7F3E" w:rsidRDefault="00540328" w:rsidP="00B7212C">
      <w:pPr>
        <w:spacing w:after="0"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Teaching</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Assignments</w:t>
      </w:r>
      <w:proofErr w:type="spellEnd"/>
      <w:r w:rsidRPr="00DF7F3E">
        <w:rPr>
          <w:rFonts w:ascii="Cambria" w:hAnsi="Cambria" w:cs="Times New Roman"/>
          <w:b/>
          <w:i/>
          <w:color w:val="171717" w:themeColor="background2" w:themeShade="1A"/>
          <w:szCs w:val="24"/>
        </w:rPr>
        <w:t xml:space="preserve"> (STA)</w:t>
      </w:r>
    </w:p>
    <w:p w:rsidR="002D40DE" w:rsidRDefault="002D40DE" w:rsidP="00DF7F3E">
      <w:pPr>
        <w:spacing w:line="276" w:lineRule="auto"/>
        <w:jc w:val="both"/>
        <w:rPr>
          <w:rFonts w:ascii="Cambria" w:hAnsi="Cambria" w:cs="Times New Roman"/>
          <w:color w:val="171717" w:themeColor="background2" w:themeShade="1A"/>
          <w:szCs w:val="24"/>
        </w:rPr>
      </w:pPr>
      <w:r w:rsidRPr="002D40DE">
        <w:rPr>
          <w:rFonts w:ascii="Cambria" w:hAnsi="Cambria" w:cs="Times New Roman"/>
          <w:color w:val="171717" w:themeColor="background2" w:themeShade="1A"/>
          <w:szCs w:val="24"/>
        </w:rPr>
        <w:t xml:space="preserve">Personel ders verme hareketliliği Türkiye’de ECHE sahibi bir yükseköğretim kurumunda ders vermekle yükümlü olan bir personelin, Programla İlişkili Olmayan Üçüncü Ülkedeki bir yükseköğretim kurumunda veya Programla İlişkili Olmayan Üçüncü Ülkedeki bir yükseköğretim kurumunda ders vermekle yükümlü olan bir personelin Türkiye’de ECHE sahibi bir yükseköğretim kurumunda öğrencilere ders vermesine ve ders vermeye ilişkin olarak karşı kurumla ortaklaşa akademik/eğitsel faaliyetler gerçekleştirmesine imkân sağlayan faaliyet alanıdır. İlave olarak, Programla İlişkili Olmayan Üçüncü bir ülkedeki yükseköğretim kurumunun Programla İlişkili Ülkedeki işletmelerden ve Programla İlişkili Ülkedeki yükseköğretim kurumunun Programla İlişkili Olmayan Üçüncü bir ülkedeki işletmelerden ders vermek üzere personel davet etmesi mümkündür.  </w:t>
      </w:r>
    </w:p>
    <w:p w:rsidR="00F83164"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color w:val="171717" w:themeColor="background2" w:themeShade="1A"/>
          <w:szCs w:val="24"/>
        </w:rPr>
        <w:t xml:space="preserve"> için faaliyet süres</w:t>
      </w:r>
      <w:r w:rsidR="002D40DE">
        <w:rPr>
          <w:rFonts w:ascii="Cambria" w:hAnsi="Cambria" w:cs="Times New Roman"/>
          <w:color w:val="171717" w:themeColor="background2" w:themeShade="1A"/>
          <w:szCs w:val="24"/>
        </w:rPr>
        <w:t>i, seyahat hariç en az ardışık 5</w:t>
      </w:r>
      <w:r w:rsidRPr="00DF7F3E">
        <w:rPr>
          <w:rFonts w:ascii="Cambria" w:hAnsi="Cambria" w:cs="Times New Roman"/>
          <w:color w:val="171717" w:themeColor="background2" w:themeShade="1A"/>
          <w:szCs w:val="24"/>
        </w:rPr>
        <w:t xml:space="preserve"> iş günü ve en fazla 2 aydır. </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Faaliyetin geçerli bir faaliyet olarak de</w:t>
      </w:r>
      <w:r w:rsidR="002D40DE">
        <w:rPr>
          <w:rFonts w:ascii="Cambria" w:hAnsi="Cambria" w:cs="Times New Roman"/>
          <w:b/>
          <w:color w:val="171717" w:themeColor="background2" w:themeShade="1A"/>
          <w:szCs w:val="24"/>
        </w:rPr>
        <w:t>ğerlendirilebilmesi için en az 5</w:t>
      </w:r>
      <w:r w:rsidR="00816E59">
        <w:rPr>
          <w:rFonts w:ascii="Cambria" w:hAnsi="Cambria" w:cs="Times New Roman"/>
          <w:b/>
          <w:color w:val="171717" w:themeColor="background2" w:themeShade="1A"/>
          <w:szCs w:val="24"/>
        </w:rPr>
        <w:t xml:space="preserve"> ardışık</w:t>
      </w:r>
      <w:r w:rsidRPr="00DF7F3E">
        <w:rPr>
          <w:rFonts w:ascii="Cambria" w:hAnsi="Cambria" w:cs="Times New Roman"/>
          <w:b/>
          <w:color w:val="171717" w:themeColor="background2" w:themeShade="1A"/>
          <w:szCs w:val="24"/>
        </w:rPr>
        <w:t xml:space="preserve"> gün ve </w:t>
      </w:r>
      <w:r w:rsidR="00086968">
        <w:rPr>
          <w:rFonts w:ascii="Cambria" w:hAnsi="Cambria" w:cs="Times New Roman"/>
          <w:b/>
          <w:color w:val="171717" w:themeColor="background2" w:themeShade="1A"/>
          <w:szCs w:val="24"/>
        </w:rPr>
        <w:t xml:space="preserve">toplamda </w:t>
      </w:r>
      <w:r w:rsidRPr="00DF7F3E">
        <w:rPr>
          <w:rFonts w:ascii="Cambria" w:hAnsi="Cambria" w:cs="Times New Roman"/>
          <w:b/>
          <w:color w:val="171717" w:themeColor="background2" w:themeShade="1A"/>
          <w:szCs w:val="24"/>
        </w:rPr>
        <w:t>8 ders saati ders verilmesi zorunludur.</w:t>
      </w:r>
    </w:p>
    <w:p w:rsidR="00540328" w:rsidRPr="00DF7F3E" w:rsidRDefault="00540328" w:rsidP="00F83164">
      <w:pPr>
        <w:spacing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EĞİTİM ALMA HAREKETLİLİĞİ-</w:t>
      </w:r>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Training (STT)</w:t>
      </w:r>
    </w:p>
    <w:p w:rsidR="00816E59" w:rsidRDefault="00816E59" w:rsidP="00DF7F3E">
      <w:pPr>
        <w:spacing w:line="276" w:lineRule="auto"/>
        <w:jc w:val="both"/>
        <w:rPr>
          <w:rFonts w:ascii="Cambria" w:hAnsi="Cambria" w:cs="Times New Roman"/>
          <w:color w:val="171717" w:themeColor="background2" w:themeShade="1A"/>
          <w:szCs w:val="24"/>
        </w:rPr>
      </w:pPr>
      <w:r w:rsidRPr="00816E59">
        <w:rPr>
          <w:rFonts w:ascii="Cambria" w:hAnsi="Cambria" w:cs="Times New Roman"/>
          <w:color w:val="171717" w:themeColor="background2" w:themeShade="1A"/>
          <w:szCs w:val="24"/>
        </w:rPr>
        <w:t xml:space="preserve">Personel eğitim alma hareketliliği Türkiye’de ECHE sahibi bir yükseköğretim kurumunda istihdam edilmiş herhangi bir personelin, Programla İlişkili Olmayan Üçüncü Ülkelerin birinde bir </w:t>
      </w:r>
      <w:r w:rsidRPr="00816E59">
        <w:rPr>
          <w:rFonts w:ascii="Cambria" w:hAnsi="Cambria" w:cs="Times New Roman"/>
          <w:color w:val="171717" w:themeColor="background2" w:themeShade="1A"/>
          <w:szCs w:val="24"/>
        </w:rPr>
        <w:lastRenderedPageBreak/>
        <w:t xml:space="preserve">yükseköğretim kurumunda eğitim almasına veya Programla İlişkili Olmayan Üçüncü Ülkedeki bir yükseköğretim kurumunda istihdam edilmiş personelin Türkiye’de bir yükseköğretim kurumunda ya da işletmede eğitim almasına imkân sağlayan faaliyet alanıdır. Bu faaliyet kapsamında kişinin mevcut işi ile ilgili konularda sahip olduğu becerileri geliştirmek üzere çeşitli eğitimler (işbaşı eğitimleri, gözlem süreçleri gibi) alması mümkündür. Konferans katılımları personel eğitim alma faaliyeti kapsamında uygun faaliyet olarak değerlendirilmemektedir. Personel eğitim alma hareketliliği kapsamında, Türkiye’de yerleşik ECHE sahibi bir yükseköğretim kurumunda istihdam edilmiş personelin, eğitim almak üzere Programla İlişkili Olmayan Üçüncü ülkede bir işletmeye gidebilmesi mümkün değildir.  </w:t>
      </w:r>
    </w:p>
    <w:p w:rsidR="002D40DE" w:rsidRDefault="00816E59" w:rsidP="00DF7F3E">
      <w:pPr>
        <w:spacing w:line="276" w:lineRule="auto"/>
        <w:jc w:val="both"/>
        <w:rPr>
          <w:rFonts w:ascii="Cambria" w:hAnsi="Cambria" w:cs="Times New Roman"/>
          <w:color w:val="171717" w:themeColor="background2" w:themeShade="1A"/>
          <w:szCs w:val="24"/>
        </w:rPr>
      </w:pPr>
      <w:r>
        <w:rPr>
          <w:rFonts w:ascii="Cambria" w:hAnsi="Cambria" w:cs="Times New Roman"/>
          <w:noProof/>
          <w:color w:val="171717" w:themeColor="background2" w:themeShade="1A"/>
          <w:szCs w:val="24"/>
          <w:lang w:eastAsia="tr-TR"/>
        </w:rPr>
        <mc:AlternateContent>
          <mc:Choice Requires="wps">
            <w:drawing>
              <wp:anchor distT="0" distB="0" distL="114300" distR="114300" simplePos="0" relativeHeight="251660288" behindDoc="1" locked="0" layoutInCell="1" allowOverlap="1" wp14:anchorId="096E97A9" wp14:editId="72BCEDDB">
                <wp:simplePos x="0" y="0"/>
                <wp:positionH relativeFrom="margin">
                  <wp:align>left</wp:align>
                </wp:positionH>
                <wp:positionV relativeFrom="paragraph">
                  <wp:posOffset>276860</wp:posOffset>
                </wp:positionV>
                <wp:extent cx="5838825" cy="600075"/>
                <wp:effectExtent l="0" t="0" r="9525" b="9525"/>
                <wp:wrapNone/>
                <wp:docPr id="5" name="Yuvarlatılmış Dikdörtgen 5"/>
                <wp:cNvGraphicFramePr/>
                <a:graphic xmlns:a="http://schemas.openxmlformats.org/drawingml/2006/main">
                  <a:graphicData uri="http://schemas.microsoft.com/office/word/2010/wordprocessingShape">
                    <wps:wsp>
                      <wps:cNvSpPr/>
                      <wps:spPr>
                        <a:xfrm>
                          <a:off x="0" y="0"/>
                          <a:ext cx="5838825" cy="600075"/>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1203E59" id="Yuvarlatılmış Dikdörtgen 5" o:spid="_x0000_s1026" style="position:absolute;margin-left:0;margin-top:21.8pt;width:459.75pt;height:47.25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" fillcolor="#cfcdcd [2894]" stroked="f" strokeweight="1pt">
                <v:stroke joinstyle="miter"/>
                <w10:wrap anchorx="margin"/>
              </v:roundrect>
            </w:pict>
          </mc:Fallback>
        </mc:AlternateContent>
      </w:r>
    </w:p>
    <w:p w:rsidR="00A67185" w:rsidRDefault="00A67185" w:rsidP="00993E50">
      <w:pPr>
        <w:spacing w:line="276" w:lineRule="auto"/>
        <w:ind w:left="284" w:hanging="142"/>
        <w:jc w:val="center"/>
        <w:rPr>
          <w:rFonts w:ascii="Cambria" w:hAnsi="Cambria" w:cs="Times New Roman"/>
          <w:color w:val="171717" w:themeColor="background2" w:themeShade="1A"/>
          <w:szCs w:val="24"/>
        </w:rPr>
      </w:pPr>
      <w:r w:rsidRPr="00993E50">
        <w:rPr>
          <w:rFonts w:ascii="Cambria" w:hAnsi="Cambria" w:cs="Times New Roman"/>
          <w:color w:val="000000" w:themeColor="text1"/>
          <w:szCs w:val="24"/>
        </w:rPr>
        <w:t>Burdur Mehmet Akif Ersoy Ün</w:t>
      </w:r>
      <w:r w:rsidR="0069511E">
        <w:rPr>
          <w:rFonts w:ascii="Cambria" w:hAnsi="Cambria" w:cs="Times New Roman"/>
          <w:color w:val="000000" w:themeColor="text1"/>
          <w:szCs w:val="24"/>
        </w:rPr>
        <w:t>i</w:t>
      </w:r>
      <w:r w:rsidR="005B2D24">
        <w:rPr>
          <w:rFonts w:ascii="Cambria" w:hAnsi="Cambria" w:cs="Times New Roman"/>
          <w:color w:val="000000" w:themeColor="text1"/>
          <w:szCs w:val="24"/>
        </w:rPr>
        <w:t xml:space="preserve">versitesi’nde istihdam edilmiş </w:t>
      </w:r>
      <w:r w:rsidRPr="00993E50">
        <w:rPr>
          <w:rFonts w:ascii="Cambria" w:hAnsi="Cambria" w:cs="Times New Roman"/>
          <w:color w:val="000000" w:themeColor="text1"/>
          <w:szCs w:val="24"/>
        </w:rPr>
        <w:t xml:space="preserve"> </w:t>
      </w:r>
      <w:r w:rsidR="006A66BD">
        <w:rPr>
          <w:rFonts w:ascii="Cambria" w:hAnsi="Cambria" w:cs="Times New Roman"/>
          <w:b/>
          <w:color w:val="000000" w:themeColor="text1"/>
          <w:szCs w:val="24"/>
        </w:rPr>
        <w:t>i</w:t>
      </w:r>
      <w:r w:rsidRPr="00993E50">
        <w:rPr>
          <w:rFonts w:ascii="Cambria" w:hAnsi="Cambria" w:cs="Times New Roman"/>
          <w:b/>
          <w:color w:val="000000" w:themeColor="text1"/>
          <w:szCs w:val="24"/>
        </w:rPr>
        <w:t xml:space="preserve">dari ve ders vermekle yükümlü olmayan akademik personelimiz sadece “Eğitim Alma </w:t>
      </w:r>
      <w:proofErr w:type="spellStart"/>
      <w:r w:rsidRPr="00993E50">
        <w:rPr>
          <w:rFonts w:ascii="Cambria" w:hAnsi="Cambria" w:cs="Times New Roman"/>
          <w:b/>
          <w:color w:val="000000" w:themeColor="text1"/>
          <w:szCs w:val="24"/>
        </w:rPr>
        <w:t>Hareketliliği”ne</w:t>
      </w:r>
      <w:proofErr w:type="spellEnd"/>
      <w:r w:rsidRPr="00993E50">
        <w:rPr>
          <w:rFonts w:ascii="Cambria" w:hAnsi="Cambria" w:cs="Times New Roman"/>
          <w:b/>
          <w:color w:val="000000" w:themeColor="text1"/>
          <w:szCs w:val="24"/>
        </w:rPr>
        <w:t xml:space="preserve"> başvurabilir.</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Personel eğitim alma faaliyeti tam zamanlı bir faaliyettir ve tam gün eğitim alınan süreler için hibe ödemesi yapılır. Bu nedenle Personel Eğitim Alma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Training -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xml:space="preserve">) eğitim alma programının gün bazında belirtilmesi gerekir. </w:t>
      </w:r>
      <w:r w:rsidRPr="00B7212C">
        <w:rPr>
          <w:rFonts w:ascii="Cambria" w:hAnsi="Cambria" w:cs="Times New Roman"/>
          <w:b/>
          <w:color w:val="C00000"/>
          <w:szCs w:val="24"/>
        </w:rPr>
        <w:t>Faaliyetin geçerli bir faaliyet olarak de</w:t>
      </w:r>
      <w:r w:rsidR="00816E59">
        <w:rPr>
          <w:rFonts w:ascii="Cambria" w:hAnsi="Cambria" w:cs="Times New Roman"/>
          <w:b/>
          <w:color w:val="C00000"/>
          <w:szCs w:val="24"/>
        </w:rPr>
        <w:t>ğerlendirilebilmesi için en az 5</w:t>
      </w:r>
      <w:r w:rsidRPr="00B7212C">
        <w:rPr>
          <w:rFonts w:ascii="Cambria" w:hAnsi="Cambria" w:cs="Times New Roman"/>
          <w:b/>
          <w:color w:val="C00000"/>
          <w:szCs w:val="24"/>
        </w:rPr>
        <w:t xml:space="preserve"> </w:t>
      </w:r>
      <w:r w:rsidR="00816E59">
        <w:rPr>
          <w:rFonts w:ascii="Cambria" w:hAnsi="Cambria" w:cs="Times New Roman"/>
          <w:b/>
          <w:color w:val="C00000"/>
          <w:szCs w:val="24"/>
        </w:rPr>
        <w:t xml:space="preserve">ardışık </w:t>
      </w:r>
      <w:r w:rsidRPr="00B7212C">
        <w:rPr>
          <w:rFonts w:ascii="Cambria" w:hAnsi="Cambria" w:cs="Times New Roman"/>
          <w:b/>
          <w:color w:val="C00000"/>
          <w:szCs w:val="24"/>
        </w:rPr>
        <w:t>gün eğitim alınması zorunludur.</w:t>
      </w:r>
    </w:p>
    <w:p w:rsidR="00F83164"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Personel Eğitim Alma Hareketliliği için faaliyet süres</w:t>
      </w:r>
      <w:r w:rsidR="00816E59">
        <w:rPr>
          <w:rFonts w:ascii="Cambria" w:hAnsi="Cambria" w:cs="Times New Roman"/>
          <w:color w:val="171717" w:themeColor="background2" w:themeShade="1A"/>
          <w:szCs w:val="24"/>
        </w:rPr>
        <w:t>i, seyahat hariç en az ardışık 5</w:t>
      </w:r>
      <w:r w:rsidRPr="00B7212C">
        <w:rPr>
          <w:rFonts w:ascii="Cambria" w:hAnsi="Cambria" w:cs="Times New Roman"/>
          <w:color w:val="171717" w:themeColor="background2" w:themeShade="1A"/>
          <w:szCs w:val="24"/>
        </w:rPr>
        <w:t xml:space="preserve"> iş günü ve en fazla 2 aydır. </w:t>
      </w:r>
    </w:p>
    <w:p w:rsidR="004372D7" w:rsidRDefault="00DF7F3E" w:rsidP="00B7212C">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Faaliyetin gerçekleştirileceği kurum ya da kuruluşun, personelin çalıştığı alan ile ilgili olması gerekmektedir.</w:t>
      </w:r>
    </w:p>
    <w:p w:rsidR="00B523D3" w:rsidRPr="00DF7F3E" w:rsidRDefault="00B523D3" w:rsidP="00B7212C">
      <w:pPr>
        <w:spacing w:after="0" w:line="276" w:lineRule="auto"/>
        <w:rPr>
          <w:rFonts w:ascii="Cambria" w:hAnsi="Cambria" w:cs="Times New Roman"/>
          <w:b/>
          <w:bCs/>
          <w:color w:val="000000" w:themeColor="text1"/>
          <w:szCs w:val="24"/>
        </w:rPr>
      </w:pPr>
      <w:r w:rsidRPr="00DF7F3E">
        <w:rPr>
          <w:rFonts w:ascii="Cambria" w:hAnsi="Cambria" w:cs="Times New Roman"/>
          <w:b/>
          <w:bCs/>
          <w:color w:val="000000" w:themeColor="text1"/>
          <w:szCs w:val="24"/>
        </w:rPr>
        <w:t>ASGARİ ŞARTLAR</w:t>
      </w:r>
    </w:p>
    <w:p w:rsidR="00B523D3" w:rsidRPr="00DF7F3E" w:rsidRDefault="00F83164" w:rsidP="00DF7F3E">
      <w:pPr>
        <w:pStyle w:val="Default"/>
        <w:spacing w:line="276" w:lineRule="auto"/>
        <w:rPr>
          <w:rFonts w:ascii="Cambria" w:hAnsi="Cambria"/>
          <w:sz w:val="22"/>
        </w:rPr>
      </w:pPr>
      <w:r>
        <w:rPr>
          <w:rFonts w:ascii="Cambria" w:hAnsi="Cambria"/>
          <w:noProof/>
          <w:sz w:val="22"/>
          <w:lang w:eastAsia="tr-TR"/>
        </w:rPr>
        <mc:AlternateContent>
          <mc:Choice Requires="wps">
            <w:drawing>
              <wp:anchor distT="0" distB="0" distL="114300" distR="114300" simplePos="0" relativeHeight="251658239" behindDoc="1" locked="0" layoutInCell="1" allowOverlap="1" wp14:anchorId="58785A6D" wp14:editId="1C31F273">
                <wp:simplePos x="0" y="0"/>
                <wp:positionH relativeFrom="column">
                  <wp:posOffset>-328931</wp:posOffset>
                </wp:positionH>
                <wp:positionV relativeFrom="paragraph">
                  <wp:posOffset>186690</wp:posOffset>
                </wp:positionV>
                <wp:extent cx="6429375" cy="1981200"/>
                <wp:effectExtent l="0" t="0" r="9525" b="0"/>
                <wp:wrapNone/>
                <wp:docPr id="2" name="Yuvarlatılmış Dikdörtgen 2"/>
                <wp:cNvGraphicFramePr/>
                <a:graphic xmlns:a="http://schemas.openxmlformats.org/drawingml/2006/main">
                  <a:graphicData uri="http://schemas.microsoft.com/office/word/2010/wordprocessingShape">
                    <wps:wsp>
                      <wps:cNvSpPr/>
                      <wps:spPr>
                        <a:xfrm>
                          <a:off x="0" y="0"/>
                          <a:ext cx="6429375" cy="1981200"/>
                        </a:xfrm>
                        <a:prstGeom prst="roundRect">
                          <a:avLst/>
                        </a:prstGeom>
                        <a:solidFill>
                          <a:schemeClr val="bg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C3B6FE0" id="Yuvarlatılmış Dikdörtgen 2" o:spid="_x0000_s1026" style="position:absolute;margin-left:-25.9pt;margin-top:14.7pt;width:506.25pt;height:1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" fillcolor="#e7e6e6 [3214]" stroked="f" strokeweight="2.25pt">
                <v:stroke joinstyle="miter"/>
              </v:roundrect>
            </w:pict>
          </mc:Fallback>
        </mc:AlternateContent>
      </w:r>
      <w:r w:rsidR="00B523D3" w:rsidRPr="00DF7F3E">
        <w:rPr>
          <w:rFonts w:ascii="Cambria" w:hAnsi="Cambria"/>
          <w:sz w:val="22"/>
        </w:rPr>
        <w:t xml:space="preserve">Faaliyete katılacak personelin aşağıdaki asgari şartları sağlaması gerekmektedir: </w:t>
      </w:r>
    </w:p>
    <w:p w:rsidR="00B523D3" w:rsidRPr="00DF7F3E" w:rsidRDefault="00F83164" w:rsidP="00F83164">
      <w:pPr>
        <w:pStyle w:val="Default"/>
        <w:tabs>
          <w:tab w:val="left" w:pos="2940"/>
        </w:tabs>
        <w:spacing w:line="276" w:lineRule="auto"/>
        <w:ind w:hanging="284"/>
        <w:rPr>
          <w:rFonts w:ascii="Cambria" w:hAnsi="Cambria"/>
          <w:sz w:val="22"/>
        </w:rPr>
      </w:pPr>
      <w:r>
        <w:rPr>
          <w:rFonts w:ascii="Cambria" w:hAnsi="Cambria"/>
          <w:sz w:val="22"/>
        </w:rPr>
        <w:tab/>
      </w:r>
    </w:p>
    <w:p w:rsidR="00B523D3" w:rsidRPr="0073687F" w:rsidRDefault="00B523D3" w:rsidP="00F83164">
      <w:pPr>
        <w:pStyle w:val="ListeParagraf"/>
        <w:numPr>
          <w:ilvl w:val="0"/>
          <w:numId w:val="11"/>
        </w:numPr>
        <w:spacing w:after="0" w:line="276" w:lineRule="auto"/>
        <w:ind w:left="0" w:hanging="284"/>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Burdur Mehmet Akif Ersoy Ün</w:t>
      </w:r>
      <w:r w:rsidR="005B2D24">
        <w:rPr>
          <w:rFonts w:ascii="Cambria" w:hAnsi="Cambria" w:cs="Times New Roman"/>
          <w:color w:val="171717" w:themeColor="background2" w:themeShade="1A"/>
          <w:szCs w:val="24"/>
        </w:rPr>
        <w:t>i</w:t>
      </w:r>
      <w:r w:rsidR="00F16BFB">
        <w:rPr>
          <w:rFonts w:ascii="Cambria" w:hAnsi="Cambria" w:cs="Times New Roman"/>
          <w:color w:val="171717" w:themeColor="background2" w:themeShade="1A"/>
          <w:szCs w:val="24"/>
        </w:rPr>
        <w:t>versitesi</w:t>
      </w:r>
      <w:r w:rsidRPr="00DF7F3E">
        <w:rPr>
          <w:rFonts w:ascii="Cambria" w:hAnsi="Cambria" w:cs="Times New Roman"/>
          <w:color w:val="171717" w:themeColor="background2" w:themeShade="1A"/>
          <w:szCs w:val="24"/>
        </w:rPr>
        <w:t>nde</w:t>
      </w:r>
      <w:r w:rsidR="001C649A">
        <w:rPr>
          <w:rFonts w:ascii="Cambria" w:hAnsi="Cambria" w:cs="Times New Roman"/>
          <w:color w:val="171717" w:themeColor="background2" w:themeShade="1A"/>
          <w:szCs w:val="24"/>
        </w:rPr>
        <w:t xml:space="preserve"> tam/yarı zamanlı</w:t>
      </w:r>
      <w:r w:rsidRPr="00DF7F3E">
        <w:rPr>
          <w:rFonts w:ascii="Cambria" w:hAnsi="Cambria" w:cs="Times New Roman"/>
          <w:color w:val="171717" w:themeColor="background2" w:themeShade="1A"/>
          <w:szCs w:val="24"/>
        </w:rPr>
        <w:t xml:space="preserve"> istihdam edilmiş, </w:t>
      </w:r>
      <w:r w:rsidR="0073687F">
        <w:rPr>
          <w:rFonts w:ascii="Cambria" w:hAnsi="Cambria" w:cs="Times New Roman"/>
          <w:b/>
          <w:color w:val="171717" w:themeColor="background2" w:themeShade="1A"/>
          <w:szCs w:val="24"/>
        </w:rPr>
        <w:t>kurumumuzda fiilen görev yapmakta olan personel olması gerekmektedir.</w:t>
      </w:r>
    </w:p>
    <w:p w:rsidR="0073687F" w:rsidRP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Kurumumuzda istihdam edilmiş olan personel için kadro şartı aranmaz.</w:t>
      </w:r>
    </w:p>
    <w:p w:rsid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sidRPr="0073687F">
        <w:rPr>
          <w:rFonts w:ascii="Cambria" w:hAnsi="Cambria"/>
          <w:color w:val="171717" w:themeColor="background2" w:themeShade="1A"/>
          <w:sz w:val="22"/>
        </w:rPr>
        <w:t>Kadrosu farklı bir kurumda olup da sözleşmeli olarak başka bir yükseköğretim kurumunda çalışmakta olan personel, hareketliğe, kadrosunun bulunduğu değil fiilen çalıştığı kurumda başvurur.</w:t>
      </w:r>
    </w:p>
    <w:p w:rsidR="0073687F" w:rsidRPr="004372D7"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Hizmet alımı yolu ile kurumumuzda istihdam edilen personel ile yükseköğretim kurumu arasında sözleşme olmadığından, bu kişiler personel hareketliliğinden faydalanamaz.</w:t>
      </w:r>
    </w:p>
    <w:p w:rsidR="004372D7" w:rsidRPr="00A67185" w:rsidRDefault="00F83164" w:rsidP="00F83164">
      <w:pPr>
        <w:pStyle w:val="Default"/>
        <w:tabs>
          <w:tab w:val="left" w:pos="3075"/>
        </w:tabs>
        <w:spacing w:line="276" w:lineRule="auto"/>
        <w:jc w:val="both"/>
        <w:rPr>
          <w:rFonts w:ascii="Cambria" w:hAnsi="Cambria"/>
          <w:color w:val="171717" w:themeColor="background2" w:themeShade="1A"/>
          <w:sz w:val="22"/>
        </w:rPr>
      </w:pPr>
      <w:r>
        <w:rPr>
          <w:rFonts w:ascii="Cambria" w:hAnsi="Cambria"/>
          <w:color w:val="171717" w:themeColor="background2" w:themeShade="1A"/>
          <w:sz w:val="22"/>
        </w:rPr>
        <w:tab/>
      </w:r>
    </w:p>
    <w:p w:rsidR="0038242D" w:rsidRDefault="0038242D" w:rsidP="00F83164">
      <w:pPr>
        <w:pStyle w:val="Default"/>
        <w:spacing w:after="240" w:line="276" w:lineRule="auto"/>
        <w:jc w:val="both"/>
        <w:rPr>
          <w:rFonts w:ascii="Cambria" w:hAnsi="Cambria"/>
          <w:b/>
          <w:color w:val="171717" w:themeColor="background2" w:themeShade="1A"/>
          <w:sz w:val="22"/>
        </w:rPr>
      </w:pPr>
    </w:p>
    <w:p w:rsidR="00A67185" w:rsidRPr="00A67185" w:rsidRDefault="00A67185" w:rsidP="00F83164">
      <w:pPr>
        <w:pStyle w:val="Default"/>
        <w:spacing w:after="240" w:line="276" w:lineRule="auto"/>
        <w:jc w:val="both"/>
        <w:rPr>
          <w:rFonts w:ascii="Cambria" w:hAnsi="Cambria"/>
          <w:b/>
          <w:color w:val="171717" w:themeColor="background2" w:themeShade="1A"/>
          <w:sz w:val="22"/>
        </w:rPr>
      </w:pPr>
      <w:r w:rsidRPr="00A67185">
        <w:rPr>
          <w:rFonts w:ascii="Cambria" w:hAnsi="Cambria"/>
          <w:b/>
          <w:color w:val="171717" w:themeColor="background2" w:themeShade="1A"/>
          <w:sz w:val="22"/>
        </w:rPr>
        <w:t>BAŞVURU SÜRECİ</w:t>
      </w:r>
    </w:p>
    <w:p w:rsidR="00A67185" w:rsidRPr="00993E50" w:rsidRDefault="00A67185"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 xml:space="preserve">Faaliyetten faydalanmak isteyen personelimiz </w:t>
      </w:r>
      <w:r w:rsidR="004372D7" w:rsidRPr="00993E50">
        <w:rPr>
          <w:rFonts w:ascii="Cambria" w:hAnsi="Cambria"/>
          <w:color w:val="171717" w:themeColor="background2" w:themeShade="1A"/>
          <w:sz w:val="22"/>
        </w:rPr>
        <w:t>başvuru tarihlerind</w:t>
      </w:r>
      <w:r w:rsidR="00D12363" w:rsidRPr="00993E50">
        <w:rPr>
          <w:rFonts w:ascii="Cambria" w:hAnsi="Cambria"/>
          <w:color w:val="171717" w:themeColor="background2" w:themeShade="1A"/>
          <w:sz w:val="22"/>
        </w:rPr>
        <w:t>e</w:t>
      </w:r>
      <w:r w:rsidR="004372D7" w:rsidRPr="00993E50">
        <w:rPr>
          <w:rFonts w:ascii="Cambria" w:hAnsi="Cambria"/>
          <w:color w:val="171717" w:themeColor="background2" w:themeShade="1A"/>
          <w:sz w:val="22"/>
        </w:rPr>
        <w:t xml:space="preserve">, </w:t>
      </w:r>
      <w:r w:rsidRPr="00993E50">
        <w:rPr>
          <w:rFonts w:ascii="Cambria" w:hAnsi="Cambria"/>
          <w:color w:val="171717" w:themeColor="background2" w:themeShade="1A"/>
          <w:sz w:val="22"/>
        </w:rPr>
        <w:t xml:space="preserve"> başvuru için gerekli evrak</w:t>
      </w:r>
      <w:r w:rsidR="00820568">
        <w:rPr>
          <w:rFonts w:ascii="Cambria" w:hAnsi="Cambria"/>
          <w:color w:val="171717" w:themeColor="background2" w:themeShade="1A"/>
          <w:sz w:val="22"/>
        </w:rPr>
        <w:t>ı</w:t>
      </w:r>
      <w:r w:rsidRPr="00993E50">
        <w:rPr>
          <w:rFonts w:ascii="Cambria" w:hAnsi="Cambria"/>
          <w:color w:val="171717" w:themeColor="background2" w:themeShade="1A"/>
          <w:sz w:val="22"/>
        </w:rPr>
        <w:t xml:space="preserve"> </w:t>
      </w:r>
      <w:proofErr w:type="spellStart"/>
      <w:r w:rsidRPr="00993E50">
        <w:rPr>
          <w:rFonts w:ascii="Cambria" w:hAnsi="Cambria"/>
          <w:color w:val="171717" w:themeColor="background2" w:themeShade="1A"/>
          <w:sz w:val="22"/>
        </w:rPr>
        <w:t>pdf</w:t>
      </w:r>
      <w:proofErr w:type="spellEnd"/>
      <w:r w:rsidRPr="00993E50">
        <w:rPr>
          <w:rFonts w:ascii="Cambria" w:hAnsi="Cambria"/>
          <w:color w:val="171717" w:themeColor="background2" w:themeShade="1A"/>
          <w:sz w:val="22"/>
        </w:rPr>
        <w:t xml:space="preserve"> formatında sisteme yükleyerek başvuruda bulunmalıdır.</w:t>
      </w:r>
      <w:r w:rsidR="00F83164" w:rsidRPr="00993E50">
        <w:rPr>
          <w:rFonts w:ascii="Cambria" w:hAnsi="Cambria"/>
          <w:color w:val="171717" w:themeColor="background2" w:themeShade="1A"/>
          <w:sz w:val="22"/>
        </w:rPr>
        <w:t xml:space="preserve"> </w:t>
      </w:r>
    </w:p>
    <w:p w:rsidR="00F83164" w:rsidRPr="00993E50" w:rsidRDefault="00F83164"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BAŞVURU BELGELERİ SİSTEM ÜZERİNDE EKSİK OLAN BAŞVURULAR DEĞERLENDİRMEYE ALINMAYACAKTIR.</w:t>
      </w:r>
    </w:p>
    <w:p w:rsidR="007216C9" w:rsidRDefault="007216C9" w:rsidP="007216C9">
      <w:pPr>
        <w:spacing w:before="240" w:after="0"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BAŞVURU İÇİN GEREKLİ BELGELER</w:t>
      </w:r>
    </w:p>
    <w:p w:rsidR="007216C9" w:rsidRDefault="007216C9" w:rsidP="007216C9">
      <w:pPr>
        <w:spacing w:before="240" w:after="0"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lastRenderedPageBreak/>
        <w:t>1)</w:t>
      </w:r>
      <w:r>
        <w:rPr>
          <w:rFonts w:ascii="Cambria" w:hAnsi="Cambria" w:cs="Times New Roman"/>
          <w:color w:val="171717" w:themeColor="background2" w:themeShade="1A"/>
          <w:szCs w:val="24"/>
        </w:rPr>
        <w:t xml:space="preserve"> Başvuru Formu, İMZALI</w:t>
      </w:r>
    </w:p>
    <w:p w:rsidR="007216C9" w:rsidRDefault="007216C9" w:rsidP="007216C9">
      <w:pPr>
        <w:spacing w:before="240" w:after="0" w:line="276" w:lineRule="auto"/>
        <w:jc w:val="both"/>
        <w:rPr>
          <w:rFonts w:ascii="Cambria" w:hAnsi="Cambria" w:cs="Times New Roman"/>
          <w:color w:val="000000"/>
          <w:szCs w:val="24"/>
        </w:rPr>
      </w:pPr>
      <w:r>
        <w:rPr>
          <w:rFonts w:ascii="Cambria" w:hAnsi="Cambria" w:cs="Times New Roman"/>
          <w:color w:val="171717" w:themeColor="background2" w:themeShade="1A"/>
          <w:szCs w:val="24"/>
        </w:rPr>
        <w:t xml:space="preserve">2) </w:t>
      </w:r>
      <w:r w:rsidRPr="00993E50">
        <w:rPr>
          <w:rFonts w:ascii="Cambria" w:hAnsi="Cambria" w:cs="Times New Roman"/>
          <w:color w:val="171717" w:themeColor="background2" w:themeShade="1A"/>
          <w:szCs w:val="24"/>
        </w:rPr>
        <w:t>“Kabul Mektubu” veya “</w:t>
      </w:r>
      <w:r w:rsidRPr="00993E50">
        <w:rPr>
          <w:rFonts w:ascii="Cambria" w:hAnsi="Cambria" w:cs="Times New Roman"/>
          <w:color w:val="000000"/>
          <w:szCs w:val="24"/>
        </w:rPr>
        <w:t>onaylı ders verme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teaching</w:t>
      </w:r>
      <w:proofErr w:type="spellEnd"/>
      <w:r w:rsidRPr="00993E50">
        <w:rPr>
          <w:rFonts w:ascii="Cambria" w:hAnsi="Cambria" w:cs="Times New Roman"/>
          <w:color w:val="000000"/>
          <w:szCs w:val="24"/>
        </w:rPr>
        <w:t>)” / “eğitim alma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training</w:t>
      </w:r>
      <w:proofErr w:type="spellEnd"/>
      <w:r w:rsidRPr="00993E50">
        <w:rPr>
          <w:rFonts w:ascii="Cambria" w:hAnsi="Cambria" w:cs="Times New Roman"/>
          <w:color w:val="000000"/>
          <w:szCs w:val="24"/>
        </w:rPr>
        <w:t>)”</w:t>
      </w:r>
    </w:p>
    <w:p w:rsidR="007216C9" w:rsidRPr="00993E50" w:rsidRDefault="007216C9" w:rsidP="007216C9">
      <w:pPr>
        <w:spacing w:before="240" w:after="0" w:line="276" w:lineRule="auto"/>
        <w:jc w:val="both"/>
        <w:rPr>
          <w:rFonts w:ascii="Cambria" w:hAnsi="Cambria" w:cs="Times New Roman"/>
          <w:color w:val="171717" w:themeColor="background2" w:themeShade="1A"/>
          <w:szCs w:val="24"/>
        </w:rPr>
      </w:pPr>
      <w:r>
        <w:rPr>
          <w:rFonts w:ascii="Cambria" w:hAnsi="Cambria" w:cs="Times New Roman"/>
          <w:color w:val="000000"/>
          <w:szCs w:val="24"/>
        </w:rPr>
        <w:t xml:space="preserve">3) </w:t>
      </w:r>
      <w:r w:rsidRPr="00993E50">
        <w:rPr>
          <w:rFonts w:ascii="Cambria" w:hAnsi="Cambria" w:cs="Times New Roman"/>
          <w:color w:val="171717" w:themeColor="background2" w:themeShade="1A"/>
          <w:szCs w:val="24"/>
        </w:rPr>
        <w:t xml:space="preserve">Yabancı Dil Belgesi (KPDS/ÜDS/YDS vb.) </w:t>
      </w:r>
    </w:p>
    <w:p w:rsidR="007216C9" w:rsidRDefault="007216C9" w:rsidP="007216C9">
      <w:pPr>
        <w:pStyle w:val="ListeParagraf"/>
        <w:spacing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     (Yabancı dilde eğitim veren </w:t>
      </w:r>
      <w:r>
        <w:rPr>
          <w:rFonts w:ascii="Cambria" w:hAnsi="Cambria" w:cs="Times New Roman"/>
          <w:color w:val="171717" w:themeColor="background2" w:themeShade="1A"/>
          <w:szCs w:val="24"/>
        </w:rPr>
        <w:t xml:space="preserve">bir </w:t>
      </w:r>
      <w:r w:rsidRPr="00993E50">
        <w:rPr>
          <w:rFonts w:ascii="Cambria" w:hAnsi="Cambria" w:cs="Times New Roman"/>
          <w:color w:val="171717" w:themeColor="background2" w:themeShade="1A"/>
          <w:szCs w:val="24"/>
        </w:rPr>
        <w:t>üniversiteden mezun olan ve o alandan puan alacak olan personelimiz diploma fotokopilerini ekleyeceklerdir.)</w:t>
      </w:r>
      <w:r>
        <w:rPr>
          <w:rFonts w:ascii="Cambria" w:hAnsi="Cambria" w:cs="Times New Roman"/>
          <w:color w:val="171717" w:themeColor="background2" w:themeShade="1A"/>
          <w:szCs w:val="24"/>
        </w:rPr>
        <w:t>(Bu durumdaki personelimizin dil puanı 70 üzerinden değerlendirilecektir)</w:t>
      </w:r>
    </w:p>
    <w:p w:rsidR="007216C9" w:rsidRDefault="007216C9" w:rsidP="007216C9">
      <w:pPr>
        <w:spacing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4) Engelli Personel için Engellilik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5) </w:t>
      </w:r>
      <w:r w:rsidRPr="00993E50">
        <w:rPr>
          <w:rFonts w:ascii="Cambria" w:hAnsi="Cambria" w:cs="Times New Roman"/>
          <w:color w:val="171717" w:themeColor="background2" w:themeShade="1A"/>
          <w:szCs w:val="24"/>
        </w:rPr>
        <w:t>Gazi personel için Gazilik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6) </w:t>
      </w:r>
      <w:r w:rsidRPr="002B5E8C">
        <w:rPr>
          <w:rFonts w:ascii="Cambria" w:hAnsi="Cambria" w:cs="Times New Roman"/>
          <w:color w:val="171717" w:themeColor="background2" w:themeShade="1A"/>
          <w:szCs w:val="24"/>
        </w:rPr>
        <w:t>Şehit ve gazi yakını personel için şehit veya gazi yakını olduğunu ispatlayan belge</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7) </w:t>
      </w:r>
      <w:r w:rsidRPr="002B5E8C">
        <w:rPr>
          <w:rFonts w:ascii="Cambria" w:hAnsi="Cambria" w:cs="Times New Roman"/>
          <w:color w:val="171717" w:themeColor="background2" w:themeShade="1A"/>
          <w:szCs w:val="24"/>
        </w:rPr>
        <w:t xml:space="preserve">Kendileri veya birinci derece yakınları </w:t>
      </w:r>
      <w:proofErr w:type="spellStart"/>
      <w:r w:rsidRPr="002B5E8C">
        <w:rPr>
          <w:rFonts w:ascii="Cambria" w:hAnsi="Cambria" w:cs="Times New Roman"/>
          <w:color w:val="171717" w:themeColor="background2" w:themeShade="1A"/>
          <w:szCs w:val="24"/>
        </w:rPr>
        <w:t>AFAD’dan</w:t>
      </w:r>
      <w:proofErr w:type="spellEnd"/>
      <w:r w:rsidRPr="002B5E8C">
        <w:rPr>
          <w:rFonts w:ascii="Cambria" w:hAnsi="Cambria" w:cs="Times New Roman"/>
          <w:color w:val="171717" w:themeColor="background2" w:themeShade="1A"/>
          <w:szCs w:val="24"/>
        </w:rPr>
        <w:t xml:space="preserve"> afetzede yardımı alan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8) </w:t>
      </w:r>
      <w:r w:rsidRPr="002B5E8C">
        <w:rPr>
          <w:rFonts w:ascii="Cambria" w:hAnsi="Cambria" w:cs="Times New Roman"/>
          <w:color w:val="171717" w:themeColor="background2" w:themeShade="1A"/>
          <w:szCs w:val="24"/>
        </w:rPr>
        <w:t>İdari görevi olan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9) </w:t>
      </w:r>
      <w:r w:rsidRPr="0038242D">
        <w:rPr>
          <w:rFonts w:ascii="Cambria" w:hAnsi="Cambria" w:cs="Times New Roman"/>
          <w:color w:val="171717" w:themeColor="background2" w:themeShade="1A"/>
          <w:szCs w:val="24"/>
        </w:rPr>
        <w:t>Eğitim alma faaliyetinde dijital becerilerin gelişti</w:t>
      </w:r>
      <w:r>
        <w:rPr>
          <w:rFonts w:ascii="Cambria" w:hAnsi="Cambria" w:cs="Times New Roman"/>
          <w:color w:val="171717" w:themeColor="background2" w:themeShade="1A"/>
          <w:szCs w:val="24"/>
        </w:rPr>
        <w:t>rilmesine yönelik faaliyet yapan personel eğitim alma planının onaylı halini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10) </w:t>
      </w:r>
      <w:r w:rsidRPr="002B5E8C">
        <w:rPr>
          <w:rFonts w:ascii="Cambria" w:hAnsi="Cambria" w:cs="Times New Roman"/>
          <w:color w:val="171717" w:themeColor="background2" w:themeShade="1A"/>
          <w:szCs w:val="24"/>
        </w:rPr>
        <w:t xml:space="preserve">Başvuru formunda belirtilen kriterlere göre yayını olan akademik personel için derginin tarandığı indeks, SCOPUS ve </w:t>
      </w:r>
      <w:proofErr w:type="spellStart"/>
      <w:r w:rsidRPr="002B5E8C">
        <w:rPr>
          <w:rFonts w:ascii="Cambria" w:hAnsi="Cambria" w:cs="Times New Roman"/>
          <w:color w:val="171717" w:themeColor="background2" w:themeShade="1A"/>
          <w:szCs w:val="24"/>
        </w:rPr>
        <w:t>Wos</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Core</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Collection’daki</w:t>
      </w:r>
      <w:proofErr w:type="spellEnd"/>
      <w:r w:rsidRPr="002B5E8C">
        <w:rPr>
          <w:rFonts w:ascii="Cambria" w:hAnsi="Cambria" w:cs="Times New Roman"/>
          <w:color w:val="171717" w:themeColor="background2" w:themeShade="1A"/>
          <w:szCs w:val="24"/>
        </w:rPr>
        <w:t xml:space="preserve"> indeksler tarafından taranan dergilerdeki yayına ait, 'Web of </w:t>
      </w:r>
      <w:proofErr w:type="spellStart"/>
      <w:r w:rsidRPr="002B5E8C">
        <w:rPr>
          <w:rFonts w:ascii="Cambria" w:hAnsi="Cambria" w:cs="Times New Roman"/>
          <w:color w:val="171717" w:themeColor="background2" w:themeShade="1A"/>
          <w:szCs w:val="24"/>
        </w:rPr>
        <w:t>Science</w:t>
      </w:r>
      <w:proofErr w:type="spellEnd"/>
      <w:r w:rsidRPr="002B5E8C">
        <w:rPr>
          <w:rFonts w:ascii="Cambria" w:hAnsi="Cambria" w:cs="Times New Roman"/>
          <w:color w:val="171717" w:themeColor="background2" w:themeShade="1A"/>
          <w:szCs w:val="24"/>
        </w:rPr>
        <w:t>' ve '</w:t>
      </w:r>
      <w:proofErr w:type="spellStart"/>
      <w:r w:rsidRPr="002B5E8C">
        <w:rPr>
          <w:rFonts w:ascii="Cambria" w:hAnsi="Cambria" w:cs="Times New Roman"/>
          <w:color w:val="171717" w:themeColor="background2" w:themeShade="1A"/>
          <w:szCs w:val="24"/>
        </w:rPr>
        <w:t>Scopus</w:t>
      </w:r>
      <w:proofErr w:type="spellEnd"/>
      <w:r w:rsidRPr="002B5E8C">
        <w:rPr>
          <w:rFonts w:ascii="Cambria" w:hAnsi="Cambria" w:cs="Times New Roman"/>
          <w:color w:val="171717" w:themeColor="background2" w:themeShade="1A"/>
          <w:szCs w:val="24"/>
        </w:rPr>
        <w:t>' web sayfası tarama sonucu çıktısı belgelendirilmelidir. Ayrıca yayının WOS Q sınıfını gösterir web sayfasının çıktısı eklenmelidir.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11) </w:t>
      </w:r>
      <w:proofErr w:type="spellStart"/>
      <w:r w:rsidRPr="002B5E8C">
        <w:rPr>
          <w:rFonts w:ascii="Cambria" w:hAnsi="Cambria" w:cs="Times New Roman"/>
          <w:color w:val="171717" w:themeColor="background2" w:themeShade="1A"/>
          <w:szCs w:val="24"/>
        </w:rPr>
        <w:t>Erasmus</w:t>
      </w:r>
      <w:proofErr w:type="spellEnd"/>
      <w:r w:rsidRPr="002B5E8C">
        <w:rPr>
          <w:rFonts w:ascii="Cambria" w:hAnsi="Cambria" w:cs="Times New Roman"/>
          <w:color w:val="171717" w:themeColor="background2" w:themeShade="1A"/>
          <w:szCs w:val="24"/>
        </w:rPr>
        <w:t>+ program koordinatörleri için gelen/giden öğrencinin öğrenim anlaşması ya da gelen personelin kanıtlayıcı evrakı</w:t>
      </w:r>
      <w:r w:rsidR="00094F1F">
        <w:rPr>
          <w:rFonts w:ascii="Cambria" w:hAnsi="Cambria" w:cs="Times New Roman"/>
          <w:color w:val="171717" w:themeColor="background2" w:themeShade="1A"/>
          <w:szCs w:val="24"/>
        </w:rPr>
        <w:t xml:space="preserve"> sisteme yüklenmelidir.</w:t>
      </w:r>
    </w:p>
    <w:p w:rsidR="00B523D3" w:rsidRP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12) </w:t>
      </w:r>
      <w:r w:rsidRPr="0038242D">
        <w:rPr>
          <w:rFonts w:ascii="Cambria" w:hAnsi="Cambria" w:cs="Times New Roman"/>
          <w:color w:val="171717" w:themeColor="background2" w:themeShade="1A"/>
          <w:szCs w:val="24"/>
        </w:rPr>
        <w:t>Cumhurbaşkanlığı Dijital Dönüşüm Ofisi Başkanlığı tarafından hazırlanan 2021-2025 Ulusal Yapay Zekâ Stratejisi kapsamında Yapay Zekâ ile ilgili faaliyet yapacak person</w:t>
      </w:r>
      <w:r>
        <w:rPr>
          <w:rFonts w:ascii="Cambria" w:hAnsi="Cambria" w:cs="Times New Roman"/>
          <w:color w:val="171717" w:themeColor="background2" w:themeShade="1A"/>
          <w:szCs w:val="24"/>
        </w:rPr>
        <w:t>elimiz</w:t>
      </w:r>
      <w:r w:rsidRPr="0038242D">
        <w:rPr>
          <w:rFonts w:ascii="Cambria" w:hAnsi="Cambria" w:cs="Times New Roman"/>
          <w:color w:val="171717" w:themeColor="background2" w:themeShade="1A"/>
          <w:szCs w:val="24"/>
        </w:rPr>
        <w:t xml:space="preserve"> ilgili öğretim planının</w:t>
      </w:r>
      <w:r>
        <w:rPr>
          <w:rFonts w:ascii="Cambria" w:hAnsi="Cambria" w:cs="Times New Roman"/>
          <w:color w:val="171717" w:themeColor="background2" w:themeShade="1A"/>
          <w:szCs w:val="24"/>
        </w:rPr>
        <w:t xml:space="preserve"> ya da eğitim planının onaylı halini sisteme yüklemelidir.</w:t>
      </w:r>
    </w:p>
    <w:p w:rsidR="00B523D3" w:rsidRPr="00DF7F3E" w:rsidRDefault="00B523D3" w:rsidP="00DF7F3E">
      <w:pPr>
        <w:pStyle w:val="ListeParagraf"/>
        <w:spacing w:before="240" w:line="276" w:lineRule="auto"/>
        <w:ind w:left="0"/>
        <w:jc w:val="both"/>
        <w:rPr>
          <w:rFonts w:ascii="Cambria" w:hAnsi="Cambria" w:cs="Times New Roman"/>
          <w:b/>
          <w:szCs w:val="24"/>
        </w:rPr>
      </w:pPr>
      <w:r w:rsidRPr="00DF7F3E">
        <w:rPr>
          <w:rFonts w:ascii="Cambria" w:hAnsi="Cambria" w:cs="Times New Roman"/>
          <w:b/>
          <w:szCs w:val="24"/>
        </w:rPr>
        <w:t>SEÇİM SÜRECİ ve DEĞERLENDİRME</w:t>
      </w:r>
    </w:p>
    <w:p w:rsidR="00B523D3" w:rsidRPr="00DF7F3E" w:rsidRDefault="00B523D3" w:rsidP="00DF7F3E">
      <w:pPr>
        <w:pStyle w:val="ListeParagraf"/>
        <w:spacing w:after="0" w:line="276" w:lineRule="auto"/>
        <w:ind w:left="0"/>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Ders verme ve Eğitim alma hareketliliği faaliyetine katılacak </w:t>
      </w:r>
      <w:r w:rsidR="00AC1B01" w:rsidRPr="00DF7F3E">
        <w:rPr>
          <w:rFonts w:ascii="Cambria" w:hAnsi="Cambria" w:cs="Times New Roman"/>
          <w:color w:val="171717" w:themeColor="background2" w:themeShade="1A"/>
          <w:szCs w:val="24"/>
        </w:rPr>
        <w:t>personelin</w:t>
      </w:r>
      <w:r w:rsidRPr="00DF7F3E">
        <w:rPr>
          <w:rFonts w:ascii="Cambria" w:hAnsi="Cambria" w:cs="Times New Roman"/>
          <w:color w:val="171717" w:themeColor="background2" w:themeShade="1A"/>
          <w:szCs w:val="24"/>
        </w:rPr>
        <w:t xml:space="preserve"> seçimi "</w:t>
      </w:r>
      <w:r w:rsidRPr="00DF7F3E">
        <w:rPr>
          <w:rFonts w:ascii="Cambria" w:hAnsi="Cambria" w:cs="Times New Roman"/>
          <w:i/>
          <w:iCs/>
          <w:color w:val="171717" w:themeColor="background2" w:themeShade="1A"/>
          <w:szCs w:val="24"/>
        </w:rPr>
        <w:t>ERASMUS+ Seçme ve Değerlendirme Komisyonu"</w:t>
      </w:r>
      <w:r w:rsidRPr="00DF7F3E">
        <w:rPr>
          <w:rFonts w:ascii="Cambria" w:hAnsi="Cambria" w:cs="Times New Roman"/>
          <w:color w:val="171717" w:themeColor="background2" w:themeShade="1A"/>
          <w:szCs w:val="24"/>
        </w:rPr>
        <w:t xml:space="preserve"> , tarafından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Uygulama El kitabında belirtilen kurallar ve Ulusal Ajans tarafından yıllık olarak belirlenen ulusal öncelikler dikkate alınarak yapılacaktır. </w:t>
      </w:r>
    </w:p>
    <w:p w:rsidR="00B523D3" w:rsidRPr="00DF7F3E" w:rsidRDefault="00B523D3" w:rsidP="00DF7F3E">
      <w:pPr>
        <w:pStyle w:val="ListeParagraf"/>
        <w:spacing w:after="0" w:line="276" w:lineRule="auto"/>
        <w:ind w:left="0"/>
        <w:jc w:val="both"/>
        <w:rPr>
          <w:rFonts w:ascii="Cambria" w:hAnsi="Cambria" w:cs="Times New Roman"/>
          <w:b/>
          <w:i/>
          <w:color w:val="171717" w:themeColor="background2" w:themeShade="1A"/>
          <w:szCs w:val="24"/>
        </w:rPr>
      </w:pPr>
      <w:r w:rsidRPr="00DF7F3E">
        <w:rPr>
          <w:rFonts w:ascii="Cambria" w:hAnsi="Cambria" w:cs="Times New Roman"/>
          <w:color w:val="171717" w:themeColor="background2" w:themeShade="1A"/>
          <w:szCs w:val="24"/>
        </w:rPr>
        <w:t>Değerlendirme</w:t>
      </w:r>
      <w:r w:rsidR="00B37606">
        <w:rPr>
          <w:rFonts w:ascii="Cambria" w:hAnsi="Cambria" w:cs="Times New Roman"/>
          <w:color w:val="171717" w:themeColor="background2" w:themeShade="1A"/>
          <w:szCs w:val="24"/>
        </w:rPr>
        <w:t xml:space="preserve"> ilanın ekindeki eğitim alma hareketliliği ve ders verme hareketliliği başvuru formlarında  yer alan </w:t>
      </w:r>
      <w:r w:rsidRPr="00DF7F3E">
        <w:rPr>
          <w:rFonts w:ascii="Cambria" w:hAnsi="Cambria" w:cs="Times New Roman"/>
          <w:color w:val="171717" w:themeColor="background2" w:themeShade="1A"/>
          <w:szCs w:val="24"/>
        </w:rPr>
        <w:t xml:space="preserve"> kriterlere ve ilgili puanlara göre yapılacaktır. </w:t>
      </w:r>
      <w:r w:rsidRPr="00DF7F3E">
        <w:rPr>
          <w:rFonts w:ascii="Cambria" w:hAnsi="Cambria" w:cs="Times New Roman"/>
          <w:b/>
          <w:i/>
          <w:color w:val="171717" w:themeColor="background2" w:themeShade="1A"/>
          <w:szCs w:val="24"/>
        </w:rPr>
        <w:t>Puanların tamamen eşit olması durumunda, üniversitemizde çalışma yılı fazla olan personele öncelik verilecektir.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HİBE DESTEĞİ</w:t>
      </w:r>
    </w:p>
    <w:p w:rsidR="00DF7F3E" w:rsidRDefault="00DF7F3E" w:rsidP="00DF7F3E">
      <w:pPr>
        <w:spacing w:line="276" w:lineRule="auto"/>
        <w:jc w:val="both"/>
        <w:rPr>
          <w:rFonts w:ascii="Cambria" w:hAnsi="Cambria" w:cs="Times New Roman"/>
          <w:szCs w:val="24"/>
        </w:rPr>
      </w:pPr>
      <w:r w:rsidRPr="00DF7F3E">
        <w:rPr>
          <w:rFonts w:ascii="Cambria" w:hAnsi="Cambria" w:cs="Times New Roman"/>
          <w:szCs w:val="24"/>
        </w:rPr>
        <w:t>Personel hareketliliğinden faydalanacak personele verilen hibe katkı niteliğinde olup, verilen hibe yurtdışında geçirilen döneme ilişkin masrafların tamamını karşılamaya yönelik değildir.</w:t>
      </w:r>
    </w:p>
    <w:p w:rsidR="00506190" w:rsidRPr="00DF7F3E" w:rsidRDefault="00506190" w:rsidP="00DF7F3E">
      <w:pPr>
        <w:spacing w:line="276" w:lineRule="auto"/>
        <w:jc w:val="both"/>
        <w:rPr>
          <w:rFonts w:ascii="Cambria" w:hAnsi="Cambria" w:cs="Times New Roman"/>
          <w:b/>
          <w:szCs w:val="24"/>
        </w:rPr>
      </w:pPr>
      <w:r>
        <w:rPr>
          <w:rFonts w:ascii="Cambria" w:hAnsi="Cambria" w:cs="Times New Roman"/>
          <w:szCs w:val="24"/>
        </w:rPr>
        <w:t xml:space="preserve">Ulusal Ajans’tan üniversitemize tahsis edilen bütçe doğrultusunda seçilen personelimize 5 günlük hibe ödemesi yapılacaktır. </w:t>
      </w:r>
    </w:p>
    <w:p w:rsidR="00DF7F3E" w:rsidRPr="00DF7F3E" w:rsidRDefault="00DF7F3E" w:rsidP="00DF7F3E">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xml:space="preserve"> hibesinin %80’i ve seyahat gideri hareketlilik öncesi, hibenin kalan %20’si ise hareketlilik tamamlandıktan sonra yararlanıcının sözleşmede belirttiği Euro hesabına yatırılır.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lastRenderedPageBreak/>
        <w:t>GÜNDELİK HİBE MİKTARI</w:t>
      </w:r>
    </w:p>
    <w:p w:rsidR="008C7E48" w:rsidRPr="00DF7F3E" w:rsidRDefault="008C7E48" w:rsidP="00DF7F3E">
      <w:pPr>
        <w:spacing w:after="0" w:line="276" w:lineRule="auto"/>
        <w:jc w:val="both"/>
        <w:rPr>
          <w:rFonts w:ascii="Cambria" w:hAnsi="Cambria" w:cs="Times New Roman"/>
          <w:szCs w:val="24"/>
        </w:rPr>
      </w:pPr>
      <w:r w:rsidRPr="00DF7F3E">
        <w:rPr>
          <w:rFonts w:ascii="Cambria" w:hAnsi="Cambria" w:cs="Times New Roman"/>
          <w:szCs w:val="24"/>
        </w:rPr>
        <w:t xml:space="preserve">Personel hareketliliğinden faydalanacak personele verilecek olan gündelik miktarı gidilen ülke ile birlikte gidilen süreye göre aşağıdaki tabloda belirtilen tutarlar dikkate alınarak hesaplanır. </w:t>
      </w:r>
    </w:p>
    <w:p w:rsidR="00677C0A" w:rsidRPr="00DF7F3E" w:rsidRDefault="00677C0A" w:rsidP="00DF7F3E">
      <w:pPr>
        <w:spacing w:after="0" w:line="276" w:lineRule="auto"/>
        <w:jc w:val="both"/>
        <w:rPr>
          <w:rFonts w:ascii="Cambria" w:hAnsi="Cambria" w:cs="Times New Roman"/>
          <w:szCs w:val="24"/>
        </w:rPr>
      </w:pPr>
    </w:p>
    <w:tbl>
      <w:tblPr>
        <w:tblStyle w:val="TabloKlavuzu"/>
        <w:tblW w:w="0" w:type="auto"/>
        <w:tblLook w:val="04A0" w:firstRow="1" w:lastRow="0" w:firstColumn="1" w:lastColumn="0" w:noHBand="0" w:noVBand="1"/>
      </w:tblPr>
      <w:tblGrid>
        <w:gridCol w:w="3020"/>
        <w:gridCol w:w="3020"/>
        <w:gridCol w:w="3020"/>
      </w:tblGrid>
      <w:tr w:rsidR="00976C2A" w:rsidTr="00976C2A">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Gönderen Ülke</w:t>
            </w:r>
          </w:p>
        </w:tc>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Kabul Eden Ülke</w:t>
            </w:r>
          </w:p>
        </w:tc>
        <w:tc>
          <w:tcPr>
            <w:tcW w:w="3020" w:type="dxa"/>
          </w:tcPr>
          <w:p w:rsidR="00976C2A" w:rsidRPr="00082B33" w:rsidRDefault="00976C2A" w:rsidP="00DF7F3E">
            <w:pPr>
              <w:spacing w:line="276" w:lineRule="auto"/>
              <w:rPr>
                <w:rFonts w:ascii="Cambria" w:hAnsi="Cambria" w:cs="Times New Roman"/>
                <w:b/>
                <w:sz w:val="20"/>
                <w:highlight w:val="lightGray"/>
              </w:rPr>
            </w:pPr>
            <w:proofErr w:type="spellStart"/>
            <w:r w:rsidRPr="00082B33">
              <w:rPr>
                <w:rFonts w:ascii="Cambria" w:hAnsi="Cambria" w:cs="Times New Roman"/>
                <w:b/>
                <w:sz w:val="20"/>
                <w:highlight w:val="lightGray"/>
              </w:rPr>
              <w:t>Güklük</w:t>
            </w:r>
            <w:proofErr w:type="spellEnd"/>
            <w:r w:rsidRPr="00082B33">
              <w:rPr>
                <w:rFonts w:ascii="Cambria" w:hAnsi="Cambria" w:cs="Times New Roman"/>
                <w:b/>
                <w:sz w:val="20"/>
                <w:highlight w:val="lightGray"/>
              </w:rPr>
              <w:t xml:space="preserve"> Hibe </w:t>
            </w:r>
            <w:proofErr w:type="spellStart"/>
            <w:r w:rsidRPr="00082B33">
              <w:rPr>
                <w:rFonts w:ascii="Cambria" w:hAnsi="Cambria" w:cs="Times New Roman"/>
                <w:b/>
                <w:sz w:val="20"/>
                <w:highlight w:val="lightGray"/>
              </w:rPr>
              <w:t>Müktarları</w:t>
            </w:r>
            <w:proofErr w:type="spellEnd"/>
            <w:r w:rsidRPr="00082B33">
              <w:rPr>
                <w:rFonts w:ascii="Cambria" w:hAnsi="Cambria" w:cs="Times New Roman"/>
                <w:b/>
                <w:sz w:val="20"/>
                <w:highlight w:val="lightGray"/>
              </w:rPr>
              <w:t>(Avro)</w:t>
            </w:r>
          </w:p>
        </w:tc>
      </w:tr>
      <w:tr w:rsidR="00976C2A" w:rsidTr="00976C2A">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Türkiye</w:t>
            </w:r>
          </w:p>
        </w:tc>
        <w:tc>
          <w:tcPr>
            <w:tcW w:w="3020" w:type="dxa"/>
          </w:tcPr>
          <w:p w:rsidR="00976C2A" w:rsidRDefault="00976C2A" w:rsidP="00DF7F3E">
            <w:pPr>
              <w:spacing w:line="276" w:lineRule="auto"/>
              <w:rPr>
                <w:rFonts w:ascii="Cambria" w:hAnsi="Cambria" w:cs="Times New Roman"/>
                <w:b/>
                <w:sz w:val="20"/>
              </w:rPr>
            </w:pPr>
            <w:r w:rsidRPr="00976C2A">
              <w:rPr>
                <w:rFonts w:ascii="Cambria" w:hAnsi="Cambria" w:cs="Times New Roman"/>
                <w:b/>
                <w:sz w:val="20"/>
              </w:rPr>
              <w:t>1-12. Bölgelerde Yer Alan Programla İlişkili Olmayan Üçüncü Ülkeler</w:t>
            </w:r>
          </w:p>
        </w:tc>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180 Avro</w:t>
            </w:r>
          </w:p>
        </w:tc>
      </w:tr>
    </w:tbl>
    <w:p w:rsidR="00677C0A" w:rsidRPr="00DF7F3E" w:rsidRDefault="00677C0A" w:rsidP="00DF7F3E">
      <w:pPr>
        <w:spacing w:line="276" w:lineRule="auto"/>
        <w:rPr>
          <w:rFonts w:ascii="Cambria" w:hAnsi="Cambria" w:cs="Times New Roman"/>
          <w:b/>
          <w:sz w:val="20"/>
        </w:rPr>
      </w:pPr>
    </w:p>
    <w:p w:rsidR="00FC6B0F" w:rsidRPr="001C649A" w:rsidRDefault="00FC6B0F" w:rsidP="00DF7F3E">
      <w:pPr>
        <w:spacing w:line="276" w:lineRule="auto"/>
        <w:rPr>
          <w:rFonts w:ascii="Cambria" w:hAnsi="Cambria" w:cs="Times New Roman"/>
          <w:b/>
        </w:rPr>
      </w:pPr>
      <w:r w:rsidRPr="001C649A">
        <w:rPr>
          <w:rFonts w:ascii="Cambria" w:hAnsi="Cambria" w:cs="Times New Roman"/>
          <w:b/>
        </w:rPr>
        <w:t xml:space="preserve">HİBE HESAPLAMALARI - </w:t>
      </w:r>
      <w:r w:rsidRPr="001C649A">
        <w:rPr>
          <w:rFonts w:ascii="Cambria" w:hAnsi="Cambria" w:cs="Times New Roman"/>
          <w:b/>
          <w:bCs/>
        </w:rPr>
        <w:t xml:space="preserve">GÜNDELİK HESAPLAMALARI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ve hibeleri, faaliyet başlamadan önce tahminî olarak hesaplanır. Faaliyet sona erdikten sonra gerçekleşen kesin süreler ve hibeler tekrar </w:t>
      </w:r>
      <w:r w:rsidR="00FC6B0F" w:rsidRPr="00DF7F3E">
        <w:rPr>
          <w:rFonts w:ascii="Cambria" w:hAnsi="Cambria"/>
          <w:sz w:val="22"/>
        </w:rPr>
        <w:t>hesaplanır.</w:t>
      </w:r>
      <w:r w:rsidRPr="00DF7F3E">
        <w:rPr>
          <w:rFonts w:ascii="Cambria" w:hAnsi="Cambria"/>
          <w:sz w:val="22"/>
        </w:rPr>
        <w:t xml:space="preserve">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kısmen veya tamamen </w:t>
      </w:r>
      <w:proofErr w:type="spellStart"/>
      <w:r w:rsidRPr="00DF7F3E">
        <w:rPr>
          <w:rFonts w:ascii="Cambria" w:hAnsi="Cambria"/>
          <w:sz w:val="22"/>
        </w:rPr>
        <w:t>hibelendirilir</w:t>
      </w:r>
      <w:proofErr w:type="spellEnd"/>
      <w:r w:rsidRPr="00DF7F3E">
        <w:rPr>
          <w:rFonts w:ascii="Cambria" w:hAnsi="Cambria"/>
          <w:sz w:val="22"/>
        </w:rPr>
        <w:t xml:space="preserve"> veya faaliyet tamamen </w:t>
      </w:r>
      <w:proofErr w:type="spellStart"/>
      <w:r w:rsidRPr="00DF7F3E">
        <w:rPr>
          <w:rFonts w:ascii="Cambria" w:hAnsi="Cambria"/>
          <w:sz w:val="22"/>
        </w:rPr>
        <w:t>hibesiz</w:t>
      </w:r>
      <w:proofErr w:type="spellEnd"/>
      <w:r w:rsidRPr="00DF7F3E">
        <w:rPr>
          <w:rFonts w:ascii="Cambria" w:hAnsi="Cambria"/>
          <w:sz w:val="22"/>
        </w:rPr>
        <w:t xml:space="preserve"> yani “sıfır hibeli” olarak gerçekleştirilebilir. Faaliyet süresinin kısmen </w:t>
      </w:r>
      <w:proofErr w:type="spellStart"/>
      <w:r w:rsidRPr="00DF7F3E">
        <w:rPr>
          <w:rFonts w:ascii="Cambria" w:hAnsi="Cambria"/>
          <w:sz w:val="22"/>
        </w:rPr>
        <w:t>hibelendirilmesi</w:t>
      </w:r>
      <w:proofErr w:type="spellEnd"/>
      <w:r w:rsidRPr="00DF7F3E">
        <w:rPr>
          <w:rFonts w:ascii="Cambria" w:hAnsi="Cambria"/>
          <w:sz w:val="22"/>
        </w:rPr>
        <w:t xml:space="preserve"> halinde, hibe verilecek sü</w:t>
      </w:r>
      <w:r w:rsidR="00082B33">
        <w:rPr>
          <w:rFonts w:ascii="Cambria" w:hAnsi="Cambria"/>
          <w:sz w:val="22"/>
        </w:rPr>
        <w:t>re personel hareketliliği için 5</w:t>
      </w:r>
      <w:r w:rsidRPr="00DF7F3E">
        <w:rPr>
          <w:rFonts w:ascii="Cambria" w:hAnsi="Cambria"/>
          <w:sz w:val="22"/>
        </w:rPr>
        <w:t xml:space="preserve"> günden kısa olamaz. </w:t>
      </w:r>
    </w:p>
    <w:p w:rsidR="00FC6B0F" w:rsidRDefault="00FC6B0F" w:rsidP="00DF7F3E">
      <w:pPr>
        <w:spacing w:after="0" w:line="276" w:lineRule="auto"/>
        <w:jc w:val="both"/>
        <w:rPr>
          <w:rFonts w:ascii="Cambria" w:hAnsi="Cambria" w:cs="Times New Roman"/>
          <w:szCs w:val="24"/>
        </w:rPr>
      </w:pPr>
      <w:r w:rsidRPr="00DF7F3E">
        <w:rPr>
          <w:rFonts w:ascii="Cambria" w:hAnsi="Cambria" w:cs="Times New Roman"/>
          <w:szCs w:val="24"/>
        </w:rPr>
        <w:t xml:space="preserve">Herhangi bir faaliyet içermeyen ya da gerçekleştirilen faaliyetin türüne uygun faaliyet yapıldığı belgelenemeyen günler için hibe ödemesi yapılmaz. </w:t>
      </w:r>
    </w:p>
    <w:p w:rsidR="00FC6B0F" w:rsidRPr="00DF7F3E" w:rsidRDefault="00FC6B0F" w:rsidP="00DF7F3E">
      <w:pPr>
        <w:spacing w:after="0" w:line="276" w:lineRule="auto"/>
        <w:jc w:val="both"/>
        <w:rPr>
          <w:rFonts w:ascii="Cambria" w:hAnsi="Cambria" w:cs="Times New Roman"/>
          <w:szCs w:val="24"/>
        </w:rPr>
      </w:pPr>
    </w:p>
    <w:p w:rsidR="00E270E0" w:rsidRPr="00DF7F3E" w:rsidRDefault="00FC6B0F" w:rsidP="00DF7F3E">
      <w:pPr>
        <w:pStyle w:val="Default"/>
        <w:spacing w:line="276" w:lineRule="auto"/>
        <w:rPr>
          <w:rFonts w:ascii="Cambria" w:hAnsi="Cambria"/>
          <w:b/>
          <w:bCs/>
          <w:sz w:val="22"/>
        </w:rPr>
      </w:pPr>
      <w:r w:rsidRPr="00DF7F3E">
        <w:rPr>
          <w:rFonts w:ascii="Cambria" w:hAnsi="Cambria"/>
          <w:b/>
          <w:bCs/>
          <w:sz w:val="22"/>
        </w:rPr>
        <w:t xml:space="preserve">SEYAHAT GİDERİ HESAPLAMALARI </w:t>
      </w:r>
    </w:p>
    <w:p w:rsidR="00FC6B0F" w:rsidRPr="00DF7F3E" w:rsidRDefault="00FC6B0F" w:rsidP="00DF7F3E">
      <w:pPr>
        <w:pStyle w:val="Default"/>
        <w:spacing w:line="276" w:lineRule="auto"/>
        <w:rPr>
          <w:rFonts w:ascii="Cambria" w:hAnsi="Cambria"/>
          <w:sz w:val="22"/>
        </w:rPr>
      </w:pPr>
    </w:p>
    <w:p w:rsidR="00E270E0" w:rsidRDefault="00E270E0" w:rsidP="00DF7F3E">
      <w:pPr>
        <w:spacing w:line="276" w:lineRule="auto"/>
        <w:jc w:val="both"/>
        <w:rPr>
          <w:rFonts w:ascii="Cambria" w:hAnsi="Cambria" w:cs="Times New Roman"/>
          <w:szCs w:val="24"/>
        </w:rPr>
      </w:pPr>
      <w:r w:rsidRPr="00DF7F3E">
        <w:rPr>
          <w:rFonts w:ascii="Cambria" w:hAnsi="Cambria" w:cs="Times New Roman"/>
          <w:szCs w:val="24"/>
        </w:rPr>
        <w:t>Personel hareketliliği faal</w:t>
      </w:r>
      <w:r w:rsidR="00FF2352">
        <w:rPr>
          <w:rFonts w:ascii="Cambria" w:hAnsi="Cambria" w:cs="Times New Roman"/>
          <w:szCs w:val="24"/>
        </w:rPr>
        <w:t>iyetinden faydalanan personele</w:t>
      </w:r>
      <w:r w:rsidRPr="00DF7F3E">
        <w:rPr>
          <w:rFonts w:ascii="Cambria" w:hAnsi="Cambria" w:cs="Times New Roman"/>
          <w:szCs w:val="24"/>
        </w:rPr>
        <w:t xml:space="preserve"> ödenecek seyahat gideri miktarı “Mesafe Hesaplayıcı” kullanılarak hesap </w:t>
      </w:r>
      <w:r w:rsidR="00FC6B0F" w:rsidRPr="00DF7F3E">
        <w:rPr>
          <w:rFonts w:ascii="Cambria" w:hAnsi="Cambria" w:cs="Times New Roman"/>
          <w:szCs w:val="24"/>
        </w:rPr>
        <w:t>edilir.</w:t>
      </w:r>
      <w:r w:rsidRPr="00DF7F3E">
        <w:rPr>
          <w:rFonts w:ascii="Cambria" w:hAnsi="Cambria" w:cs="Times New Roman"/>
          <w:szCs w:val="24"/>
        </w:rPr>
        <w:t xml:space="preserve"> </w:t>
      </w:r>
    </w:p>
    <w:p w:rsidR="004372D7" w:rsidRDefault="004372D7" w:rsidP="004372D7">
      <w:pPr>
        <w:spacing w:after="0" w:line="240" w:lineRule="auto"/>
        <w:jc w:val="both"/>
        <w:rPr>
          <w:rFonts w:ascii="Cambria" w:hAnsi="Cambria"/>
        </w:rPr>
      </w:pPr>
      <w:r w:rsidRPr="00B35A7D">
        <w:rPr>
          <w:rFonts w:ascii="Cambria" w:hAnsi="Cambria"/>
        </w:rPr>
        <w:t>Mesafe hesaplayıcıya aşağıdaki bağlantıdan ulaşılabilmektedir.</w:t>
      </w:r>
    </w:p>
    <w:p w:rsidR="004372D7" w:rsidRDefault="00055426" w:rsidP="004372D7">
      <w:pPr>
        <w:spacing w:after="0" w:line="240" w:lineRule="auto"/>
        <w:jc w:val="both"/>
        <w:rPr>
          <w:rFonts w:ascii="Cambria" w:hAnsi="Cambria"/>
        </w:rPr>
      </w:pPr>
      <w:hyperlink r:id="rId8" w:history="1">
        <w:r w:rsidR="004372D7" w:rsidRPr="00F84243">
          <w:rPr>
            <w:rStyle w:val="Kpr"/>
            <w:rFonts w:ascii="Cambria" w:hAnsi="Cambria"/>
          </w:rPr>
          <w:t>http://ec.europa.eu/programmes/erasmus-plus/tools/distance_en.htm</w:t>
        </w:r>
      </w:hyperlink>
    </w:p>
    <w:p w:rsidR="004372D7" w:rsidRDefault="004372D7" w:rsidP="004372D7">
      <w:pPr>
        <w:spacing w:line="240" w:lineRule="auto"/>
        <w:jc w:val="both"/>
        <w:rPr>
          <w:rFonts w:ascii="Cambria" w:hAnsi="Cambria" w:cs="Times New Roman"/>
          <w:szCs w:val="24"/>
        </w:rPr>
      </w:pPr>
    </w:p>
    <w:p w:rsidR="00E270E0" w:rsidRPr="00DF7F3E" w:rsidRDefault="00E270E0" w:rsidP="004372D7">
      <w:pPr>
        <w:spacing w:after="0" w:line="240" w:lineRule="auto"/>
        <w:jc w:val="both"/>
        <w:rPr>
          <w:rFonts w:ascii="Cambria" w:hAnsi="Cambria" w:cs="Times New Roman"/>
          <w:szCs w:val="24"/>
        </w:rPr>
      </w:pPr>
      <w:r w:rsidRPr="00DF7F3E">
        <w:rPr>
          <w:rFonts w:ascii="Cambria" w:hAnsi="Cambria" w:cs="Times New Roman"/>
          <w:szCs w:val="24"/>
        </w:rPr>
        <w:t>Mesafe hesaplayıcısı aracılığı ile personelin yerleşik olduğu yerden, faaliyet yerine kadar olan iki nokta arasının km değeri tespit edilmeli ve aşağıdaki tablo kullanılarak seyahat hibesi hesaplanmalıdır.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rsidR="00E72158" w:rsidRPr="00DF7F3E" w:rsidRDefault="00E72158" w:rsidP="00DF7F3E">
      <w:pPr>
        <w:spacing w:line="276" w:lineRule="auto"/>
        <w:jc w:val="both"/>
        <w:rPr>
          <w:rFonts w:ascii="Cambria" w:hAnsi="Cambria"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2998"/>
        <w:gridCol w:w="2998"/>
      </w:tblGrid>
      <w:tr w:rsidR="00E270E0" w:rsidRPr="00DF7F3E" w:rsidTr="00FC6B0F">
        <w:trPr>
          <w:trHeight w:val="245"/>
        </w:trPr>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Seyahat Mesafesi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Standart Seyahat Hibe Tutarı (Avro)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Yeşil Seyahat Hibe Tutarı (Avro)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b/>
                <w:bCs/>
                <w:color w:val="000000"/>
                <w:szCs w:val="24"/>
              </w:rPr>
            </w:pPr>
            <w:r w:rsidRPr="00DF7F3E">
              <w:rPr>
                <w:rFonts w:ascii="Cambria" w:hAnsi="Cambria" w:cs="Times New Roman"/>
                <w:color w:val="000000"/>
                <w:szCs w:val="24"/>
              </w:rPr>
              <w:t>10 ila 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23</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center"/>
              <w:rPr>
                <w:rFonts w:ascii="Cambria" w:hAnsi="Cambria" w:cs="Times New Roman"/>
                <w:b/>
                <w:bCs/>
                <w:color w:val="000000"/>
                <w:szCs w:val="24"/>
              </w:rPr>
            </w:pP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100 ila 499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180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210</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500 ila 1999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275</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320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2000 ila 2999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360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410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3000 ila 3999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530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610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4000 ila 7999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820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8000 KM veya daha fazla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1.500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bl>
    <w:p w:rsidR="008F59E9" w:rsidRPr="00DF7F3E" w:rsidRDefault="008F59E9" w:rsidP="00DF7F3E">
      <w:pPr>
        <w:spacing w:after="0" w:line="276" w:lineRule="auto"/>
        <w:jc w:val="both"/>
        <w:rPr>
          <w:rFonts w:ascii="Cambria" w:hAnsi="Cambria" w:cs="Times New Roman"/>
          <w:szCs w:val="24"/>
        </w:rPr>
      </w:pPr>
    </w:p>
    <w:p w:rsidR="00E72158" w:rsidRDefault="001C649A" w:rsidP="001C649A">
      <w:pPr>
        <w:spacing w:after="0" w:line="276" w:lineRule="auto"/>
        <w:jc w:val="both"/>
        <w:rPr>
          <w:rFonts w:ascii="Cambria" w:hAnsi="Cambria" w:cs="Times New Roman"/>
          <w:szCs w:val="24"/>
        </w:rPr>
      </w:pPr>
      <w:r w:rsidRPr="001C649A">
        <w:rPr>
          <w:rFonts w:ascii="Cambria" w:hAnsi="Cambria" w:cs="Times New Roman"/>
          <w:szCs w:val="24"/>
        </w:rPr>
        <w:t>Yeşil Seyahat türünde seyahat tercih eden personele seyahat günleri için 4 güne kadar bireysel destek verilir.</w:t>
      </w:r>
    </w:p>
    <w:p w:rsidR="004372D7" w:rsidRDefault="004372D7" w:rsidP="001C649A">
      <w:pPr>
        <w:spacing w:after="0" w:line="276" w:lineRule="auto"/>
        <w:jc w:val="both"/>
        <w:rPr>
          <w:rFonts w:ascii="Cambria" w:hAnsi="Cambria" w:cs="Times New Roman"/>
          <w:szCs w:val="24"/>
        </w:rPr>
      </w:pPr>
    </w:p>
    <w:p w:rsidR="004372D7" w:rsidRPr="007E51CF" w:rsidRDefault="004372D7" w:rsidP="004372D7">
      <w:pPr>
        <w:spacing w:after="0" w:line="240" w:lineRule="auto"/>
        <w:jc w:val="both"/>
        <w:rPr>
          <w:rFonts w:ascii="Cambria" w:hAnsi="Cambria" w:cs="Calibri"/>
          <w:b/>
        </w:rPr>
      </w:pPr>
      <w:r w:rsidRPr="007E51CF">
        <w:rPr>
          <w:rFonts w:ascii="Cambria" w:hAnsi="Cambria" w:cs="Calibri"/>
          <w:b/>
        </w:rPr>
        <w:t>HİBE KESİNTİSİ</w:t>
      </w:r>
    </w:p>
    <w:p w:rsidR="004372D7" w:rsidRDefault="004372D7" w:rsidP="004372D7">
      <w:pPr>
        <w:spacing w:after="0" w:line="276" w:lineRule="auto"/>
        <w:jc w:val="both"/>
        <w:rPr>
          <w:rFonts w:ascii="Cambria" w:hAnsi="Cambria" w:cs="Times New Roman"/>
          <w:szCs w:val="24"/>
        </w:rPr>
      </w:pPr>
      <w:r w:rsidRPr="00DF7F3E">
        <w:rPr>
          <w:rFonts w:ascii="Cambria" w:hAnsi="Cambria" w:cs="Times New Roman"/>
          <w:szCs w:val="24"/>
        </w:rPr>
        <w:lastRenderedPageBreak/>
        <w:t>Personel ders verme hareketliliğinde, katılım sertifikasında yarar</w:t>
      </w:r>
      <w:r w:rsidR="00082B33">
        <w:rPr>
          <w:rFonts w:ascii="Cambria" w:hAnsi="Cambria" w:cs="Times New Roman"/>
          <w:szCs w:val="24"/>
        </w:rPr>
        <w:t>lanıcının mücbir sebep dışında 5</w:t>
      </w:r>
      <w:r w:rsidRPr="00DF7F3E">
        <w:rPr>
          <w:rFonts w:ascii="Cambria" w:hAnsi="Cambria" w:cs="Times New Roman"/>
          <w:szCs w:val="24"/>
        </w:rPr>
        <w:t xml:space="preserve"> günden az süre ile faaliyet gerçekleştirdiği ve/veya vermesi gerekenden daha az saat ders verdiğinin görüldüğü durumlarda, faaliyet geçersiz kabul edilir ve yararlanıcıya herhangi bir hibe ödemesi yapılmaz.</w:t>
      </w:r>
    </w:p>
    <w:p w:rsidR="004372D7" w:rsidRPr="001C649A" w:rsidRDefault="004372D7" w:rsidP="001C649A">
      <w:pPr>
        <w:spacing w:after="0" w:line="276" w:lineRule="auto"/>
        <w:jc w:val="both"/>
        <w:rPr>
          <w:rFonts w:ascii="Cambria" w:hAnsi="Cambria" w:cs="Times New Roman"/>
          <w:szCs w:val="24"/>
        </w:rPr>
      </w:pPr>
      <w:r w:rsidRPr="007E51CF">
        <w:rPr>
          <w:rFonts w:ascii="Cambria" w:hAnsi="Cambria" w:cs="Times New Roman"/>
          <w:szCs w:val="24"/>
        </w:rPr>
        <w:t>Herhangi bir faaliyet içermeyen ya da gerçekleştirilen faaliyetin türüne uygun faaliyet yapıldığı belgelenemeyen günler için hibe ödemesi yapılmaz.</w:t>
      </w:r>
    </w:p>
    <w:p w:rsidR="00E72158" w:rsidRPr="00DF7F3E" w:rsidRDefault="00E72158" w:rsidP="00DF7F3E">
      <w:pPr>
        <w:spacing w:after="0" w:line="276" w:lineRule="auto"/>
        <w:jc w:val="both"/>
        <w:rPr>
          <w:rFonts w:ascii="Cambria" w:hAnsi="Cambria" w:cs="Times New Roman"/>
          <w:szCs w:val="24"/>
        </w:rPr>
      </w:pPr>
    </w:p>
    <w:p w:rsidR="0057510E" w:rsidRPr="00DF7F3E" w:rsidRDefault="00FC6B0F" w:rsidP="004372D7">
      <w:pPr>
        <w:spacing w:after="0" w:line="276" w:lineRule="auto"/>
        <w:rPr>
          <w:rFonts w:ascii="Cambria" w:hAnsi="Cambria" w:cs="Times New Roman"/>
          <w:szCs w:val="24"/>
        </w:rPr>
      </w:pPr>
      <w:r w:rsidRPr="00DF7F3E">
        <w:rPr>
          <w:rFonts w:ascii="Cambria" w:hAnsi="Cambria" w:cs="Times New Roman"/>
          <w:b/>
          <w:bCs/>
          <w:szCs w:val="24"/>
        </w:rPr>
        <w:t xml:space="preserve">HİBESİZ (“0” HİBELİ) PERSONEL OLMA DURUMU </w:t>
      </w:r>
    </w:p>
    <w:p w:rsidR="0057510E" w:rsidRPr="00DF7F3E" w:rsidRDefault="0057510E" w:rsidP="00DF7F3E">
      <w:pPr>
        <w:spacing w:line="276" w:lineRule="auto"/>
        <w:jc w:val="both"/>
        <w:rPr>
          <w:rFonts w:ascii="Cambria" w:hAnsi="Cambria" w:cs="Times New Roman"/>
          <w:szCs w:val="24"/>
        </w:rPr>
      </w:pPr>
      <w:r w:rsidRPr="00DF7F3E">
        <w:rPr>
          <w:rFonts w:ascii="Cambria" w:hAnsi="Cambria" w:cs="Times New Roman"/>
          <w:szCs w:val="24"/>
        </w:rPr>
        <w:t>Personel istediği takdirde hibe almaksızın faaliyete katılabilir. Fa</w:t>
      </w:r>
      <w:r w:rsidR="008D1D73">
        <w:rPr>
          <w:rFonts w:ascii="Cambria" w:hAnsi="Cambria" w:cs="Times New Roman"/>
          <w:szCs w:val="24"/>
        </w:rPr>
        <w:t xml:space="preserve">aliyetten </w:t>
      </w:r>
      <w:proofErr w:type="spellStart"/>
      <w:r w:rsidR="008D1D73">
        <w:rPr>
          <w:rFonts w:ascii="Cambria" w:hAnsi="Cambria" w:cs="Times New Roman"/>
          <w:szCs w:val="24"/>
        </w:rPr>
        <w:t>hibesiz</w:t>
      </w:r>
      <w:proofErr w:type="spellEnd"/>
      <w:r w:rsidR="008D1D73">
        <w:rPr>
          <w:rFonts w:ascii="Cambria" w:hAnsi="Cambria" w:cs="Times New Roman"/>
          <w:szCs w:val="24"/>
        </w:rPr>
        <w:t xml:space="preserve"> faydalanabilmek </w:t>
      </w:r>
      <w:r w:rsidRPr="00DF7F3E">
        <w:rPr>
          <w:rFonts w:ascii="Cambria" w:hAnsi="Cambria" w:cs="Times New Roman"/>
          <w:szCs w:val="24"/>
        </w:rPr>
        <w:t xml:space="preserve">için de başvuru yapılması ve başvurunun diğer başvurularla beraber değerlendirmeye tabi tutulması gerekmektedir. </w:t>
      </w:r>
    </w:p>
    <w:p w:rsidR="00540328" w:rsidRPr="00DF7F3E" w:rsidRDefault="0057510E" w:rsidP="00DF7F3E">
      <w:pPr>
        <w:spacing w:line="276" w:lineRule="auto"/>
        <w:jc w:val="both"/>
        <w:rPr>
          <w:rFonts w:ascii="Cambria" w:hAnsi="Cambria" w:cs="Times New Roman"/>
          <w:szCs w:val="24"/>
        </w:rPr>
      </w:pPr>
      <w:proofErr w:type="spellStart"/>
      <w:r w:rsidRPr="00DF7F3E">
        <w:rPr>
          <w:rFonts w:ascii="Cambria" w:hAnsi="Cambria" w:cs="Times New Roman"/>
          <w:szCs w:val="24"/>
        </w:rPr>
        <w:t>Hibesiz</w:t>
      </w:r>
      <w:proofErr w:type="spellEnd"/>
      <w:r w:rsidRPr="00DF7F3E">
        <w:rPr>
          <w:rFonts w:ascii="Cambria" w:hAnsi="Cambria" w:cs="Times New Roman"/>
          <w:szCs w:val="24"/>
        </w:rPr>
        <w:t xml:space="preserve"> personelin farkı, personelin bütçe hesaplamalarına dâhil edilmemesi ve kendisine ödeme yapılmamasıdır. Hibe alınmaması, personelin seçim sürecine dâhil olmamasına gerekçe değildir.</w:t>
      </w:r>
    </w:p>
    <w:p w:rsidR="00DA674C" w:rsidRPr="00DF7F3E" w:rsidRDefault="00DA674C" w:rsidP="004372D7">
      <w:pPr>
        <w:spacing w:after="0" w:line="276" w:lineRule="auto"/>
        <w:rPr>
          <w:rFonts w:ascii="Cambria" w:hAnsi="Cambria" w:cs="Times New Roman"/>
          <w:szCs w:val="24"/>
        </w:rPr>
      </w:pPr>
      <w:r w:rsidRPr="00DF7F3E">
        <w:rPr>
          <w:rFonts w:ascii="Cambria" w:hAnsi="Cambria" w:cs="Times New Roman"/>
          <w:b/>
          <w:bCs/>
          <w:szCs w:val="24"/>
        </w:rPr>
        <w:t xml:space="preserve">İÇERME DESTEĞİ (INCLUSION SUPPORT) </w:t>
      </w:r>
    </w:p>
    <w:p w:rsidR="006826C3" w:rsidRPr="004372D7" w:rsidRDefault="00DA674C" w:rsidP="004372D7">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personele ilave hibe verilebilmesi için Merkezden ilave hibe tal</w:t>
      </w:r>
      <w:r w:rsidR="00677C0A" w:rsidRPr="00DF7F3E">
        <w:rPr>
          <w:rFonts w:ascii="Cambria" w:hAnsi="Cambria" w:cs="Times New Roman"/>
          <w:szCs w:val="24"/>
        </w:rPr>
        <w:t>ebinde bulunulması gerekmekte, Merkez tarafından uygun görülmesi durumunda içerme desteği verilebilmektedir.</w:t>
      </w:r>
      <w:r w:rsidRPr="00DF7F3E">
        <w:rPr>
          <w:rFonts w:ascii="Cambria" w:hAnsi="Cambria" w:cs="Times New Roman"/>
          <w:szCs w:val="24"/>
        </w:rPr>
        <w:t xml:space="preserve"> </w:t>
      </w:r>
    </w:p>
    <w:p w:rsidR="00936B5A" w:rsidRPr="00DF7F3E" w:rsidRDefault="00936B5A" w:rsidP="004372D7">
      <w:pPr>
        <w:spacing w:after="0" w:line="276" w:lineRule="auto"/>
        <w:rPr>
          <w:rFonts w:ascii="Cambria" w:hAnsi="Cambria" w:cs="Times New Roman"/>
          <w:b/>
          <w:szCs w:val="24"/>
        </w:rPr>
      </w:pPr>
      <w:r w:rsidRPr="00DF7F3E">
        <w:rPr>
          <w:rFonts w:ascii="Cambria" w:hAnsi="Cambria" w:cs="Times New Roman"/>
          <w:b/>
          <w:szCs w:val="24"/>
        </w:rPr>
        <w:t>ÖNEMLİ HUSUSLAR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 xml:space="preserve">Personel ders verme hareketliliğinde, katılım sertifikasında yararlanıcının mücbir sebep dışında </w:t>
      </w:r>
      <w:r w:rsidR="001C3C11">
        <w:rPr>
          <w:rFonts w:ascii="Cambria" w:hAnsi="Cambria" w:cs="Times New Roman"/>
          <w:szCs w:val="24"/>
        </w:rPr>
        <w:t>5</w:t>
      </w:r>
      <w:r w:rsidR="001C3C11" w:rsidRPr="004372D7">
        <w:rPr>
          <w:rFonts w:ascii="Cambria" w:hAnsi="Cambria" w:cs="Times New Roman"/>
          <w:szCs w:val="24"/>
        </w:rPr>
        <w:t xml:space="preserve"> </w:t>
      </w:r>
      <w:r w:rsidRPr="004372D7">
        <w:rPr>
          <w:rFonts w:ascii="Cambria" w:hAnsi="Cambria" w:cs="Times New Roman"/>
          <w:szCs w:val="24"/>
        </w:rPr>
        <w:t>günden az süre ile faaliyet gerçekleştirdiği ve/veya vermesi gerekenden daha az saat ders verdiğinin görüldüğü durumlarda,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 xml:space="preserve">Personel eğitim alma hareketliliğinde, katılım sertifikasında yararlanıcının mücbir sebep dışında </w:t>
      </w:r>
      <w:r w:rsidR="001C3C11">
        <w:rPr>
          <w:rFonts w:ascii="Cambria" w:hAnsi="Cambria" w:cs="Times New Roman"/>
          <w:szCs w:val="24"/>
        </w:rPr>
        <w:t>5</w:t>
      </w:r>
      <w:r w:rsidRPr="004372D7">
        <w:rPr>
          <w:rFonts w:ascii="Cambria" w:hAnsi="Cambria" w:cs="Times New Roman"/>
          <w:szCs w:val="24"/>
        </w:rPr>
        <w:t xml:space="preserve"> günden az süre ile faaliyet gerçekleştirilmesi durumunda,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Mücbir sebebin belgelendirilebilmesi şartıyla, asgari sürenin tamamlanamadığı faaliyetler kabul edilir; kalınan süre karşılığı hibe verilir ve seyahat masrafları mesafe hesaplayıcıya bağlı kalınarak ödenir.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Herhangi bir faaliyet içermeyen ya da gerçekleştirilen faaliyetin türüne uygun faaliyet yapıldığı belgelenemeyen günler için hibe ödemesi yapılmaz.</w:t>
      </w:r>
    </w:p>
    <w:p w:rsidR="00164E73" w:rsidRPr="004372D7" w:rsidRDefault="00164E73"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ya da eğitim alma faaliyetlerinden yalnızca birine başvuru yapılabilmektedir.</w:t>
      </w:r>
    </w:p>
    <w:p w:rsidR="00040F91" w:rsidRPr="00DF7F3E" w:rsidRDefault="00040F91" w:rsidP="00E30069">
      <w:pPr>
        <w:pStyle w:val="ListeParagraf"/>
        <w:numPr>
          <w:ilvl w:val="0"/>
          <w:numId w:val="9"/>
        </w:numPr>
        <w:spacing w:after="0" w:line="276" w:lineRule="auto"/>
        <w:ind w:left="0" w:hanging="284"/>
        <w:jc w:val="both"/>
        <w:rPr>
          <w:rFonts w:ascii="Cambria" w:hAnsi="Cambria" w:cs="Times New Roman"/>
          <w:bCs/>
        </w:rPr>
      </w:pPr>
      <w:proofErr w:type="spellStart"/>
      <w:r w:rsidRPr="00DF7F3E">
        <w:rPr>
          <w:rFonts w:ascii="Cambria" w:hAnsi="Cambria" w:cs="Times New Roman"/>
          <w:bCs/>
        </w:rPr>
        <w:t>Pandemi</w:t>
      </w:r>
      <w:proofErr w:type="spellEnd"/>
      <w:r w:rsidRPr="00DF7F3E">
        <w:rPr>
          <w:rFonts w:ascii="Cambria" w:hAnsi="Cambria" w:cs="Times New Roman"/>
          <w:bCs/>
        </w:rPr>
        <w:t xml:space="preserve"> nedeniyle ülkeleri</w:t>
      </w:r>
      <w:r w:rsidR="00CD4161">
        <w:rPr>
          <w:rFonts w:ascii="Cambria" w:hAnsi="Cambria" w:cs="Times New Roman"/>
          <w:bCs/>
        </w:rPr>
        <w:t>n</w:t>
      </w:r>
      <w:r w:rsidRPr="00DF7F3E">
        <w:rPr>
          <w:rFonts w:ascii="Cambria" w:hAnsi="Cambria" w:cs="Times New Roman"/>
          <w:bCs/>
        </w:rPr>
        <w:t xml:space="preserve"> almış oldukları tedbirler ve kararlardan kaynaklanabilecek hak kayıplarından Uluslararası İlişkiler Koordinatörlüğü sorumlu değildir.  </w:t>
      </w:r>
    </w:p>
    <w:p w:rsidR="00040F91" w:rsidRPr="00DF7F3E" w:rsidRDefault="00082B33" w:rsidP="00E30069">
      <w:pPr>
        <w:pStyle w:val="ListeParagraf"/>
        <w:numPr>
          <w:ilvl w:val="0"/>
          <w:numId w:val="9"/>
        </w:numPr>
        <w:spacing w:before="120" w:after="0" w:line="276" w:lineRule="auto"/>
        <w:ind w:left="0" w:hanging="284"/>
        <w:jc w:val="both"/>
        <w:rPr>
          <w:rFonts w:ascii="Cambria" w:hAnsi="Cambria" w:cs="Times New Roman"/>
          <w:bCs/>
        </w:rPr>
      </w:pPr>
      <w:r>
        <w:rPr>
          <w:rFonts w:ascii="Cambria" w:hAnsi="Cambria" w:cs="Times New Roman"/>
          <w:bCs/>
        </w:rPr>
        <w:t xml:space="preserve">2022 </w:t>
      </w:r>
      <w:bookmarkStart w:id="0" w:name="_GoBack"/>
      <w:bookmarkEnd w:id="0"/>
      <w:r w:rsidR="00040F91" w:rsidRPr="00DF7F3E">
        <w:rPr>
          <w:rFonts w:ascii="Cambria" w:hAnsi="Cambria" w:cs="Times New Roman"/>
          <w:bCs/>
        </w:rPr>
        <w:t xml:space="preserve">sözleşme dönemi kapsamında seçilen ancak sözleşme dönemi içerisinde faaliyetlerini gerçekleştirmeyen personelimiz “kazanılmış hak” gerekçesiyle bir sonraki hibe sözleşmesinin kapsamına alınamazlar. </w:t>
      </w:r>
    </w:p>
    <w:p w:rsidR="00040F91" w:rsidRPr="00DF7F3E" w:rsidRDefault="00040F91" w:rsidP="00DF7F3E">
      <w:pPr>
        <w:pStyle w:val="ListeParagraf"/>
        <w:spacing w:before="120" w:after="120" w:line="276" w:lineRule="auto"/>
        <w:ind w:left="0"/>
        <w:jc w:val="both"/>
        <w:rPr>
          <w:rFonts w:ascii="Cambria" w:hAnsi="Cambria" w:cs="Times New Roman"/>
          <w:bCs/>
          <w:sz w:val="20"/>
        </w:rPr>
      </w:pPr>
    </w:p>
    <w:p w:rsidR="00040F91" w:rsidRPr="00DF7F3E" w:rsidRDefault="00040F91" w:rsidP="00DF7F3E">
      <w:pPr>
        <w:spacing w:line="276" w:lineRule="auto"/>
        <w:jc w:val="both"/>
        <w:rPr>
          <w:rFonts w:ascii="Cambria" w:hAnsi="Cambria" w:cs="Times New Roman"/>
          <w:szCs w:val="24"/>
        </w:rPr>
      </w:pPr>
    </w:p>
    <w:p w:rsidR="00936B5A" w:rsidRPr="00DF7F3E" w:rsidRDefault="00936B5A" w:rsidP="00DF7F3E">
      <w:pPr>
        <w:spacing w:line="276" w:lineRule="auto"/>
        <w:jc w:val="both"/>
        <w:rPr>
          <w:rFonts w:ascii="Cambria" w:hAnsi="Cambria" w:cs="Times New Roman"/>
          <w:szCs w:val="24"/>
        </w:rPr>
      </w:pPr>
    </w:p>
    <w:sectPr w:rsidR="00936B5A" w:rsidRPr="00DF7F3E" w:rsidSect="005323FE">
      <w:headerReference w:type="default" r:id="rId9"/>
      <w:pgSz w:w="11906" w:h="16838"/>
      <w:pgMar w:top="1194"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426" w:rsidRDefault="00055426" w:rsidP="005850E2">
      <w:pPr>
        <w:spacing w:after="0" w:line="240" w:lineRule="auto"/>
      </w:pPr>
      <w:r>
        <w:separator/>
      </w:r>
    </w:p>
  </w:endnote>
  <w:endnote w:type="continuationSeparator" w:id="0">
    <w:p w:rsidR="00055426" w:rsidRDefault="00055426" w:rsidP="0058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426" w:rsidRDefault="00055426" w:rsidP="005850E2">
      <w:pPr>
        <w:spacing w:after="0" w:line="240" w:lineRule="auto"/>
      </w:pPr>
      <w:r>
        <w:separator/>
      </w:r>
    </w:p>
  </w:footnote>
  <w:footnote w:type="continuationSeparator" w:id="0">
    <w:p w:rsidR="00055426" w:rsidRDefault="00055426" w:rsidP="0058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FE" w:rsidRDefault="005323FE">
    <w:pPr>
      <w:pStyle w:val="stBilgi"/>
    </w:pPr>
    <w:r>
      <w:rPr>
        <w:noProof/>
        <w:lang w:eastAsia="tr-TR"/>
      </w:rPr>
      <w:drawing>
        <wp:inline distT="0" distB="0" distL="0" distR="0" wp14:anchorId="4AC964B1">
          <wp:extent cx="1103630" cy="267970"/>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67970"/>
                  </a:xfrm>
                  <a:prstGeom prst="rect">
                    <a:avLst/>
                  </a:prstGeom>
                  <a:noFill/>
                </pic:spPr>
              </pic:pic>
            </a:graphicData>
          </a:graphic>
        </wp:inline>
      </w:drawing>
    </w:r>
    <w:r>
      <w:t xml:space="preserve">                                                                                              </w:t>
    </w:r>
    <w:r w:rsidRPr="008C7E48">
      <w:rPr>
        <w:rFonts w:ascii="Cambria" w:hAnsi="Cambria" w:cs="Calibri"/>
        <w:noProof/>
        <w:sz w:val="24"/>
        <w:szCs w:val="24"/>
        <w:lang w:eastAsia="tr-TR"/>
      </w:rPr>
      <w:drawing>
        <wp:inline distT="0" distB="0" distL="0" distR="0" wp14:anchorId="63E21602" wp14:editId="737345FB">
          <wp:extent cx="1657350" cy="304800"/>
          <wp:effectExtent l="0" t="0" r="0" b="0"/>
          <wp:docPr id="4" name="Resim 4" descr="logo-erasmus-plus"/>
          <wp:cNvGraphicFramePr/>
          <a:graphic xmlns:a="http://schemas.openxmlformats.org/drawingml/2006/main">
            <a:graphicData uri="http://schemas.openxmlformats.org/drawingml/2006/picture">
              <pic:pic xmlns:pic="http://schemas.openxmlformats.org/drawingml/2006/picture">
                <pic:nvPicPr>
                  <pic:cNvPr id="20" name="Resim 20" descr="logo-erasmus-plu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735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9.2pt;height:492.6pt" o:bullet="t">
        <v:imagedata r:id="rId1" o:title="126-1263879_blue-bullet-point-stock-xchng[1]"/>
      </v:shape>
    </w:pict>
  </w:numPicBullet>
  <w:abstractNum w:abstractNumId="0" w15:restartNumberingAfterBreak="0">
    <w:nsid w:val="05BD662C"/>
    <w:multiLevelType w:val="hybridMultilevel"/>
    <w:tmpl w:val="E4541F0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F40DC"/>
    <w:multiLevelType w:val="hybridMultilevel"/>
    <w:tmpl w:val="D89218C2"/>
    <w:lvl w:ilvl="0" w:tplc="041F0001">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A6C83"/>
    <w:multiLevelType w:val="hybridMultilevel"/>
    <w:tmpl w:val="676AD734"/>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334D0C"/>
    <w:multiLevelType w:val="hybridMultilevel"/>
    <w:tmpl w:val="38C8C92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D12858"/>
    <w:multiLevelType w:val="hybridMultilevel"/>
    <w:tmpl w:val="FF2C0582"/>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56614"/>
    <w:multiLevelType w:val="hybridMultilevel"/>
    <w:tmpl w:val="3E141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4179F3"/>
    <w:multiLevelType w:val="hybridMultilevel"/>
    <w:tmpl w:val="1E4E1524"/>
    <w:lvl w:ilvl="0" w:tplc="B0F2CAF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643C2673"/>
    <w:multiLevelType w:val="hybridMultilevel"/>
    <w:tmpl w:val="C1406DC6"/>
    <w:lvl w:ilvl="0" w:tplc="75B2B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4211B9"/>
    <w:multiLevelType w:val="hybridMultilevel"/>
    <w:tmpl w:val="BB6A5CB6"/>
    <w:lvl w:ilvl="0" w:tplc="22321DB4">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D0137F"/>
    <w:multiLevelType w:val="hybridMultilevel"/>
    <w:tmpl w:val="279E496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A93267"/>
    <w:multiLevelType w:val="hybridMultilevel"/>
    <w:tmpl w:val="5A86437E"/>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7"/>
  </w:num>
  <w:num w:numId="6">
    <w:abstractNumId w:val="10"/>
  </w:num>
  <w:num w:numId="7">
    <w:abstractNumId w:val="4"/>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5B"/>
    <w:rsid w:val="00040F91"/>
    <w:rsid w:val="0005108E"/>
    <w:rsid w:val="00055426"/>
    <w:rsid w:val="000669E4"/>
    <w:rsid w:val="00082B33"/>
    <w:rsid w:val="00086968"/>
    <w:rsid w:val="00094F1F"/>
    <w:rsid w:val="000B69D6"/>
    <w:rsid w:val="000C405B"/>
    <w:rsid w:val="000E472E"/>
    <w:rsid w:val="000F550E"/>
    <w:rsid w:val="0016462E"/>
    <w:rsid w:val="00164E73"/>
    <w:rsid w:val="001B2D08"/>
    <w:rsid w:val="001C3C11"/>
    <w:rsid w:val="001C649A"/>
    <w:rsid w:val="001D1C6C"/>
    <w:rsid w:val="00290156"/>
    <w:rsid w:val="002930F1"/>
    <w:rsid w:val="002B0E65"/>
    <w:rsid w:val="002D40DE"/>
    <w:rsid w:val="002F6F6B"/>
    <w:rsid w:val="00301BEF"/>
    <w:rsid w:val="00334147"/>
    <w:rsid w:val="00344BE8"/>
    <w:rsid w:val="00361612"/>
    <w:rsid w:val="00366EC3"/>
    <w:rsid w:val="0037734F"/>
    <w:rsid w:val="0038242D"/>
    <w:rsid w:val="003B016E"/>
    <w:rsid w:val="003D155C"/>
    <w:rsid w:val="003E5AAD"/>
    <w:rsid w:val="00426D08"/>
    <w:rsid w:val="00436BA4"/>
    <w:rsid w:val="004372D7"/>
    <w:rsid w:val="0044455A"/>
    <w:rsid w:val="00506190"/>
    <w:rsid w:val="005323FE"/>
    <w:rsid w:val="00532AE2"/>
    <w:rsid w:val="005360D8"/>
    <w:rsid w:val="00540328"/>
    <w:rsid w:val="0057510E"/>
    <w:rsid w:val="005850E2"/>
    <w:rsid w:val="005B2D24"/>
    <w:rsid w:val="005C3BF7"/>
    <w:rsid w:val="005E2CBF"/>
    <w:rsid w:val="006113D9"/>
    <w:rsid w:val="00614525"/>
    <w:rsid w:val="00677C0A"/>
    <w:rsid w:val="006826C3"/>
    <w:rsid w:val="0069511E"/>
    <w:rsid w:val="006A66BD"/>
    <w:rsid w:val="006B5879"/>
    <w:rsid w:val="006E6D9E"/>
    <w:rsid w:val="00721039"/>
    <w:rsid w:val="007216C9"/>
    <w:rsid w:val="0073687F"/>
    <w:rsid w:val="00765C65"/>
    <w:rsid w:val="00783937"/>
    <w:rsid w:val="007C33BE"/>
    <w:rsid w:val="007E06D6"/>
    <w:rsid w:val="007E50D5"/>
    <w:rsid w:val="00816E59"/>
    <w:rsid w:val="00820568"/>
    <w:rsid w:val="00827A80"/>
    <w:rsid w:val="008305F5"/>
    <w:rsid w:val="008833BB"/>
    <w:rsid w:val="008850E6"/>
    <w:rsid w:val="008936ED"/>
    <w:rsid w:val="00894F1C"/>
    <w:rsid w:val="008C7E48"/>
    <w:rsid w:val="008D1D73"/>
    <w:rsid w:val="008F59E9"/>
    <w:rsid w:val="00913943"/>
    <w:rsid w:val="009163B2"/>
    <w:rsid w:val="00936B5A"/>
    <w:rsid w:val="00976C2A"/>
    <w:rsid w:val="00993E50"/>
    <w:rsid w:val="009D1FFD"/>
    <w:rsid w:val="009F3FA2"/>
    <w:rsid w:val="009F5DC0"/>
    <w:rsid w:val="00A67185"/>
    <w:rsid w:val="00AC1B01"/>
    <w:rsid w:val="00AE4716"/>
    <w:rsid w:val="00B0395B"/>
    <w:rsid w:val="00B2252B"/>
    <w:rsid w:val="00B37606"/>
    <w:rsid w:val="00B523D3"/>
    <w:rsid w:val="00B60F3A"/>
    <w:rsid w:val="00B7212C"/>
    <w:rsid w:val="00B81A8B"/>
    <w:rsid w:val="00B92273"/>
    <w:rsid w:val="00B94E37"/>
    <w:rsid w:val="00BE1820"/>
    <w:rsid w:val="00C21079"/>
    <w:rsid w:val="00C32368"/>
    <w:rsid w:val="00C563F6"/>
    <w:rsid w:val="00CA696D"/>
    <w:rsid w:val="00CC1F75"/>
    <w:rsid w:val="00CD4161"/>
    <w:rsid w:val="00CE1CF7"/>
    <w:rsid w:val="00CE4E93"/>
    <w:rsid w:val="00D12363"/>
    <w:rsid w:val="00D37B81"/>
    <w:rsid w:val="00D72C22"/>
    <w:rsid w:val="00DA674C"/>
    <w:rsid w:val="00DB5022"/>
    <w:rsid w:val="00DC4B6E"/>
    <w:rsid w:val="00DF7F3E"/>
    <w:rsid w:val="00E078CF"/>
    <w:rsid w:val="00E270E0"/>
    <w:rsid w:val="00E30069"/>
    <w:rsid w:val="00E72158"/>
    <w:rsid w:val="00E85DF1"/>
    <w:rsid w:val="00EC5AA6"/>
    <w:rsid w:val="00F143FD"/>
    <w:rsid w:val="00F16BFB"/>
    <w:rsid w:val="00F22FE9"/>
    <w:rsid w:val="00F252D2"/>
    <w:rsid w:val="00F446DD"/>
    <w:rsid w:val="00F67046"/>
    <w:rsid w:val="00F83164"/>
    <w:rsid w:val="00FB4124"/>
    <w:rsid w:val="00FC11AF"/>
    <w:rsid w:val="00FC6B0F"/>
    <w:rsid w:val="00FC7CCB"/>
    <w:rsid w:val="00FF23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25E4B"/>
  <w15:chartTrackingRefBased/>
  <w15:docId w15:val="{BD4D0760-47C6-4911-B3A1-30643C6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5B"/>
  </w:style>
  <w:style w:type="paragraph" w:styleId="Balk1">
    <w:name w:val="heading 1"/>
    <w:basedOn w:val="Normal"/>
    <w:next w:val="Normal"/>
    <w:link w:val="Balk1Char"/>
    <w:uiPriority w:val="9"/>
    <w:qFormat/>
    <w:rsid w:val="00164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95B"/>
    <w:pPr>
      <w:ind w:left="720"/>
      <w:contextualSpacing/>
    </w:pPr>
  </w:style>
  <w:style w:type="paragraph" w:customStyle="1" w:styleId="Default">
    <w:name w:val="Default"/>
    <w:rsid w:val="00B03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16462E"/>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6462E"/>
    <w:pPr>
      <w:outlineLvl w:val="9"/>
    </w:pPr>
    <w:rPr>
      <w:lang w:eastAsia="tr-TR"/>
    </w:rPr>
  </w:style>
  <w:style w:type="paragraph" w:styleId="stBilgi">
    <w:name w:val="header"/>
    <w:basedOn w:val="Normal"/>
    <w:link w:val="stBilgiChar"/>
    <w:uiPriority w:val="99"/>
    <w:unhideWhenUsed/>
    <w:rsid w:val="005850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0E2"/>
  </w:style>
  <w:style w:type="paragraph" w:styleId="AltBilgi">
    <w:name w:val="footer"/>
    <w:basedOn w:val="Normal"/>
    <w:link w:val="AltBilgiChar"/>
    <w:uiPriority w:val="99"/>
    <w:unhideWhenUsed/>
    <w:rsid w:val="005850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0E2"/>
  </w:style>
  <w:style w:type="paragraph" w:styleId="NormalWeb">
    <w:name w:val="Normal (Web)"/>
    <w:basedOn w:val="Normal"/>
    <w:uiPriority w:val="99"/>
    <w:semiHidden/>
    <w:unhideWhenUsed/>
    <w:rsid w:val="0005108E"/>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CE1CF7"/>
    <w:rPr>
      <w:color w:val="0563C1" w:themeColor="hyperlink"/>
      <w:u w:val="single"/>
    </w:rPr>
  </w:style>
  <w:style w:type="table" w:styleId="TabloKlavuzu">
    <w:name w:val="Table Grid"/>
    <w:basedOn w:val="NormalTablo"/>
    <w:uiPriority w:val="39"/>
    <w:rsid w:val="00A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D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82CB0-DC3E-4B93-95B0-2FE2EC3A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1959</Words>
  <Characters>11171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atemi</cp:lastModifiedBy>
  <cp:revision>7</cp:revision>
  <dcterms:created xsi:type="dcterms:W3CDTF">2024-11-04T10:01:00Z</dcterms:created>
  <dcterms:modified xsi:type="dcterms:W3CDTF">2024-11-04T10:10:00Z</dcterms:modified>
</cp:coreProperties>
</file>