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FC7CCB"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ERASMUS+ PROGRAMI (KA131)</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FC7CCB" w:rsidP="00DF7F3E">
      <w:pPr>
        <w:spacing w:line="276" w:lineRule="auto"/>
        <w:jc w:val="both"/>
      </w:pPr>
      <w:r>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Pr>
          <w:rFonts w:ascii="Cambria" w:hAnsi="Cambria" w:cs="Times New Roman"/>
          <w:b/>
          <w:color w:val="171717" w:themeColor="background2" w:themeShade="1A"/>
          <w:szCs w:val="24"/>
          <w:highlight w:val="yellow"/>
        </w:rPr>
        <w:t>14-28 Mart 2024</w:t>
      </w:r>
      <w:r w:rsidR="004372D7" w:rsidRPr="004372D7">
        <w:rPr>
          <w:rFonts w:ascii="Cambria" w:hAnsi="Cambria" w:cs="Times New Roman"/>
          <w:color w:val="171717" w:themeColor="background2" w:themeShade="1A"/>
          <w:szCs w:val="24"/>
          <w:highlight w:val="yellow"/>
        </w:rPr>
        <w:t xml:space="preserve"> 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FC7CCB">
        <w:rPr>
          <w:rFonts w:ascii="Cambria" w:hAnsi="Cambria" w:cs="Times New Roman"/>
          <w:color w:val="171717" w:themeColor="background2" w:themeShade="1A"/>
          <w:szCs w:val="24"/>
        </w:rPr>
        <w:t>28 Mart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evrakların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Pr="00DF7F3E"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Kontenjanlar, 2023 Proje Yılı için Üniversitemize tahsis edilen hibe doğrultusunda Ulusal Ajans tarafından belirlenmiştir.</w:t>
      </w:r>
    </w:p>
    <w:p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Ders Verme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FC7CCB">
        <w:rPr>
          <w:rFonts w:ascii="Cambria" w:hAnsi="Cambria" w:cs="Times New Roman"/>
          <w:b/>
          <w:color w:val="171717" w:themeColor="background2" w:themeShade="1A"/>
          <w:szCs w:val="24"/>
        </w:rPr>
        <w:t>14</w:t>
      </w:r>
    </w:p>
    <w:p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Eğitim Alma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4372D7">
        <w:rPr>
          <w:rFonts w:ascii="Cambria" w:hAnsi="Cambria" w:cs="Times New Roman"/>
          <w:b/>
          <w:color w:val="171717" w:themeColor="background2" w:themeShade="1A"/>
          <w:szCs w:val="24"/>
        </w:rPr>
        <w:t>9</w:t>
      </w:r>
    </w:p>
    <w:p w:rsidR="00540328" w:rsidRDefault="00FC7CCB"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TOPLAM</w:t>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t>23</w:t>
      </w:r>
    </w:p>
    <w:p w:rsidR="00B7212C" w:rsidRPr="00B7212C" w:rsidRDefault="00B7212C"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p>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DF7F3E" w:rsidRPr="00DF7F3E" w:rsidRDefault="00DF7F3E" w:rsidP="00DF7F3E">
      <w:pPr>
        <w:spacing w:line="276" w:lineRule="auto"/>
        <w:jc w:val="both"/>
        <w:rPr>
          <w:rFonts w:ascii="Cambria" w:hAnsi="Cambria" w:cs="Times New Roman"/>
          <w:color w:val="171717" w:themeColor="background2" w:themeShade="1A"/>
          <w:szCs w:val="24"/>
        </w:rPr>
      </w:pPr>
      <w:proofErr w:type="gramStart"/>
      <w:r w:rsidRPr="00DF7F3E">
        <w:rPr>
          <w:rFonts w:ascii="Cambria" w:hAnsi="Cambria" w:cs="Times New Roman"/>
          <w:color w:val="171717" w:themeColor="background2" w:themeShade="1A"/>
          <w:szCs w:val="24"/>
        </w:rPr>
        <w:t>Personel ders verme hareketliliği, Türkiye’de ECHE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Üniversite Beyannamesi) sahibi bir yükseköğretim kurumunda ders vermekle yüküm</w:t>
      </w:r>
      <w:r w:rsidR="00301BEF">
        <w:rPr>
          <w:rFonts w:ascii="Cambria" w:hAnsi="Cambria" w:cs="Times New Roman"/>
          <w:color w:val="171717" w:themeColor="background2" w:themeShade="1A"/>
          <w:szCs w:val="24"/>
        </w:rPr>
        <w:t xml:space="preserve">lü olan bir personelin, programla ilişkili ülkelerden </w:t>
      </w:r>
      <w:r w:rsidRPr="00DF7F3E">
        <w:rPr>
          <w:rFonts w:ascii="Cambria" w:hAnsi="Cambria" w:cs="Times New Roman"/>
          <w:color w:val="171717" w:themeColor="background2" w:themeShade="1A"/>
          <w:szCs w:val="24"/>
        </w:rPr>
        <w:t>birinde ECHE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Üniversite Beyannamesi)  sahibi bir yükseköğretim kurumunda öğrencilere ders vermesine ve ders vermeye ilişkin olarak karşı kurumla ortaklaşa akademik/eğitsel faaliyetler gerçekleştirmesine imkân sağlayan faaliyet alanıdır.</w:t>
      </w:r>
      <w:proofErr w:type="gramEnd"/>
    </w:p>
    <w:p w:rsidR="00B7212C" w:rsidRDefault="00A67185" w:rsidP="00DF7F3E">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sym w:font="Wingdings" w:char="F0E8"/>
      </w:r>
      <w:r w:rsidR="00DF7F3E" w:rsidRPr="00DF7F3E">
        <w:rPr>
          <w:rFonts w:ascii="Cambria" w:hAnsi="Cambria" w:cs="Times New Roman"/>
          <w:color w:val="171717" w:themeColor="background2" w:themeShade="1A"/>
          <w:szCs w:val="24"/>
        </w:rPr>
        <w:t>Bur</w:t>
      </w:r>
      <w:r w:rsidR="00DF7F3E" w:rsidRPr="00B7212C">
        <w:rPr>
          <w:rFonts w:ascii="Cambria" w:hAnsi="Cambria" w:cs="Times New Roman"/>
          <w:color w:val="171717" w:themeColor="background2" w:themeShade="1A"/>
          <w:szCs w:val="24"/>
        </w:rPr>
        <w:t>dur Mehmet Akif Ersoy Ün</w:t>
      </w:r>
      <w:r w:rsidR="00301BEF">
        <w:rPr>
          <w:rFonts w:ascii="Cambria" w:hAnsi="Cambria" w:cs="Times New Roman"/>
          <w:color w:val="171717" w:themeColor="background2" w:themeShade="1A"/>
          <w:szCs w:val="24"/>
        </w:rPr>
        <w:t>iversitesi</w:t>
      </w:r>
      <w:r w:rsidR="00DF7F3E" w:rsidRPr="00B7212C">
        <w:rPr>
          <w:rFonts w:ascii="Cambria" w:hAnsi="Cambria" w:cs="Times New Roman"/>
          <w:color w:val="171717" w:themeColor="background2" w:themeShade="1A"/>
          <w:szCs w:val="24"/>
        </w:rPr>
        <w:t xml:space="preserve">nde istihdam edilmiş, ders vermekle yükümlü tüm akademik personel, </w:t>
      </w:r>
      <w:r w:rsidR="00301BEF">
        <w:rPr>
          <w:rFonts w:ascii="Cambria" w:hAnsi="Cambria" w:cs="Times New Roman"/>
          <w:b/>
          <w:color w:val="171717" w:themeColor="background2" w:themeShade="1A"/>
          <w:szCs w:val="24"/>
        </w:rPr>
        <w:t>bağlı bulunduğu bölümün</w:t>
      </w:r>
      <w:r w:rsidR="00DF7F3E" w:rsidRPr="00FC7CCB">
        <w:rPr>
          <w:rFonts w:ascii="Cambria" w:hAnsi="Cambria" w:cs="Times New Roman"/>
          <w:b/>
          <w:color w:val="171717" w:themeColor="background2" w:themeShade="1A"/>
          <w:szCs w:val="24"/>
        </w:rPr>
        <w:t xml:space="preserve"> ikili anlaşması olması koşulu ile </w:t>
      </w:r>
      <w:r w:rsidR="00DF7F3E" w:rsidRPr="00B7212C">
        <w:rPr>
          <w:rFonts w:ascii="Cambria" w:hAnsi="Cambria" w:cs="Times New Roman"/>
          <w:color w:val="171717" w:themeColor="background2" w:themeShade="1A"/>
          <w:szCs w:val="24"/>
        </w:rPr>
        <w:t xml:space="preserve">ders verme hareketliliğine başvuru yapabilir. </w:t>
      </w:r>
    </w:p>
    <w:p w:rsidR="00DF7F3E" w:rsidRPr="00DF7F3E" w:rsidRDefault="00DF7F3E" w:rsidP="00CC1F75">
      <w:pPr>
        <w:shd w:val="clear" w:color="auto" w:fill="E7E6E6" w:themeFill="background2"/>
        <w:spacing w:line="276" w:lineRule="auto"/>
        <w:jc w:val="both"/>
        <w:rPr>
          <w:rFonts w:ascii="Cambria" w:hAnsi="Cambria" w:cs="Times New Roman"/>
          <w:b/>
          <w:color w:val="171717" w:themeColor="background2" w:themeShade="1A"/>
          <w:szCs w:val="24"/>
        </w:rPr>
      </w:pPr>
      <w:r w:rsidRPr="00B7212C">
        <w:rPr>
          <w:rFonts w:ascii="Cambria" w:hAnsi="Cambria" w:cs="Times New Roman"/>
          <w:color w:val="171717" w:themeColor="background2" w:themeShade="1A"/>
          <w:szCs w:val="24"/>
        </w:rPr>
        <w:t xml:space="preserve">Mevcut anlaşma listesine </w:t>
      </w:r>
      <w:hyperlink r:id="rId8" w:history="1">
        <w:r w:rsidRPr="00B7212C">
          <w:rPr>
            <w:rStyle w:val="Kpr"/>
            <w:rFonts w:ascii="Cambria" w:hAnsi="Cambria" w:cs="Times New Roman"/>
            <w:szCs w:val="24"/>
          </w:rPr>
          <w:t>https://iro.mehmetakif.edu.tr/icerik/165/104/ka131-ikili-anlasmalari</w:t>
        </w:r>
      </w:hyperlink>
      <w:r w:rsidRPr="00B7212C">
        <w:rPr>
          <w:rFonts w:ascii="Cambria" w:hAnsi="Cambria" w:cs="Times New Roman"/>
          <w:color w:val="171717" w:themeColor="background2" w:themeShade="1A"/>
          <w:szCs w:val="24"/>
        </w:rPr>
        <w:t xml:space="preserve"> adresinden </w:t>
      </w:r>
      <w:r w:rsidR="00301BEF">
        <w:rPr>
          <w:rFonts w:ascii="Cambria" w:hAnsi="Cambria" w:cs="Times New Roman"/>
          <w:color w:val="171717" w:themeColor="background2" w:themeShade="1A"/>
          <w:szCs w:val="24"/>
        </w:rPr>
        <w:t>ulaşılabilir.</w:t>
      </w:r>
    </w:p>
    <w:p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faaliyeti gün tabanlı bir faaliyettir ve ders verilen günler için hibe ödemesi yapılır. Bu nedenle Personel Ders Verme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Teaching</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ders verme programının gün bazında belirtilmesi gerekir.</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süresi, seyahat hariç en az ardışık 2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bCs/>
          <w:color w:val="171717" w:themeColor="background2" w:themeShade="1A"/>
          <w:szCs w:val="24"/>
        </w:rPr>
        <w:t xml:space="preserve">Koordinatörlüğümüz mevcut hibe ile daha fazla personelimizin hareketlilikten yararlanmasını sağlamak amacıyla </w:t>
      </w:r>
      <w:proofErr w:type="spellStart"/>
      <w:r w:rsidRPr="00DF7F3E">
        <w:rPr>
          <w:rFonts w:ascii="Cambria" w:hAnsi="Cambria" w:cs="Times New Roman"/>
          <w:b/>
          <w:bCs/>
          <w:color w:val="171717" w:themeColor="background2" w:themeShade="1A"/>
          <w:szCs w:val="24"/>
        </w:rPr>
        <w:t>Erasmus</w:t>
      </w:r>
      <w:proofErr w:type="spellEnd"/>
      <w:r w:rsidRPr="00DF7F3E">
        <w:rPr>
          <w:rFonts w:ascii="Cambria" w:hAnsi="Cambria" w:cs="Times New Roman"/>
          <w:b/>
          <w:bCs/>
          <w:color w:val="171717" w:themeColor="background2" w:themeShade="1A"/>
          <w:szCs w:val="24"/>
        </w:rPr>
        <w:t xml:space="preserve"> personel hareketliliği kapsamında hibe ödemesi yapılacak süreyi en fazla 2 iş günü, buna ek olarak, ders verilen günleri kapsamamak şartıyla, gidiş ve dönüş 2 gün yol, olarak sınırlandırmıştır.</w:t>
      </w:r>
      <w:r w:rsidRPr="00DF7F3E">
        <w:rPr>
          <w:rFonts w:ascii="Cambria" w:hAnsi="Cambria" w:cs="Times New Roman"/>
          <w:b/>
          <w:color w:val="171717" w:themeColor="background2" w:themeShade="1A"/>
          <w:szCs w:val="24"/>
        </w:rPr>
        <w:t xml:space="preserve"> Faaliyetin geçerli </w:t>
      </w:r>
      <w:r w:rsidRPr="00DF7F3E">
        <w:rPr>
          <w:rFonts w:ascii="Cambria" w:hAnsi="Cambria" w:cs="Times New Roman"/>
          <w:b/>
          <w:color w:val="171717" w:themeColor="background2" w:themeShade="1A"/>
          <w:szCs w:val="24"/>
        </w:rPr>
        <w:lastRenderedPageBreak/>
        <w:t xml:space="preserve">bir faaliyet olarak değerlendirilebilmesi için en az 2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A67185" w:rsidRDefault="00993E50"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simplePos x="0" y="0"/>
                <wp:positionH relativeFrom="column">
                  <wp:posOffset>4445</wp:posOffset>
                </wp:positionH>
                <wp:positionV relativeFrom="paragraph">
                  <wp:posOffset>850265</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1B6232" id="Yuvarlatılmış Dikdörtgen 5" o:spid="_x0000_s1026" style="position:absolute;margin-left:.35pt;margin-top:66.95pt;width:459.75pt;height:47.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lVni7d4AAAAIAQAADwAAAGRycy9kb3ducmV2LnhtbEyPwU7DMBBE70j8g7VIXBC1cRFN&#10;Q5wKVeLACTUget3EJg7E6yh20vD3mBM9zs5o5m2xW1zPZjOGzpOCu5UAZqjxuqNWwfvb820GLEQk&#10;jb0no+DHBNiVlxcF5tqf6GDmKrYslVDIUYGNccg5D401DsPKD4aS9+lHhzHJseV6xFMqdz2XQjxw&#10;hx2lBYuD2VvTfFeTU3Bs6uzrVewPsfp4OQ43aDfTvCh1fbU8PQKLZon/YfjDT+hQJqbaT6QD6xVs&#10;Ui5d1+stsGRvpZDAagVSZvfAy4KfP1D+AgAA//8DAFBLAQItABQABgAIAAAAIQC2gziS/gAAAOEB&#10;AAATAAAAAAAAAAAAAAAAAAAAAABbQ29udGVudF9UeXBlc10ueG1sUEsBAi0AFAAGAAgAAAAhADj9&#10;If/WAAAAlAEAAAsAAAAAAAAAAAAAAAAALwEAAF9yZWxzLy5yZWxzUEsBAi0AFAAGAAgAAAAhAJgV&#10;BJq9AgAAwAUAAA4AAAAAAAAAAAAAAAAALgIAAGRycy9lMm9Eb2MueG1sUEsBAi0AFAAGAAgAAAAh&#10;AJVZ4u3eAAAACAEAAA8AAAAAAAAAAAAAAAAAFwUAAGRycy9kb3ducmV2LnhtbFBLBQYAAAAABAAE&#10;APMAAAAiBgAAAAA=&#10;" fillcolor="#cfcdcd [2894]" stroked="f" strokeweight="1pt">
                <v:stroke joinstyle="miter"/>
              </v:roundrect>
            </w:pict>
          </mc:Fallback>
        </mc:AlternateContent>
      </w:r>
      <w:r w:rsidR="00DF7F3E" w:rsidRPr="00DF7F3E">
        <w:rPr>
          <w:rFonts w:ascii="Cambria" w:hAnsi="Cambria" w:cs="Times New Roman"/>
          <w:color w:val="171717" w:themeColor="background2" w:themeShade="1A"/>
          <w:szCs w:val="24"/>
        </w:rPr>
        <w:t>Personel eğitim alma hareketliliği, Türkiye’de ECHE (</w:t>
      </w:r>
      <w:proofErr w:type="spellStart"/>
      <w:r w:rsidR="00DF7F3E" w:rsidRPr="00DF7F3E">
        <w:rPr>
          <w:rFonts w:ascii="Cambria" w:hAnsi="Cambria" w:cs="Times New Roman"/>
          <w:color w:val="171717" w:themeColor="background2" w:themeShade="1A"/>
          <w:szCs w:val="24"/>
        </w:rPr>
        <w:t>Erasmus</w:t>
      </w:r>
      <w:proofErr w:type="spellEnd"/>
      <w:r w:rsidR="00DF7F3E" w:rsidRPr="00DF7F3E">
        <w:rPr>
          <w:rFonts w:ascii="Cambria" w:hAnsi="Cambria" w:cs="Times New Roman"/>
          <w:color w:val="171717" w:themeColor="background2" w:themeShade="1A"/>
          <w:szCs w:val="24"/>
        </w:rPr>
        <w:t xml:space="preserve"> Üniversite Beyannamesi)  sahibi bir yükseköğretim kurumunda çalışan personelin, program</w:t>
      </w:r>
      <w:r w:rsidR="0069511E">
        <w:rPr>
          <w:rFonts w:ascii="Cambria" w:hAnsi="Cambria" w:cs="Times New Roman"/>
          <w:color w:val="171717" w:themeColor="background2" w:themeShade="1A"/>
          <w:szCs w:val="24"/>
        </w:rPr>
        <w:t>la ilişkili</w:t>
      </w:r>
      <w:r w:rsidR="00DF7F3E" w:rsidRPr="00DF7F3E">
        <w:rPr>
          <w:rFonts w:ascii="Cambria" w:hAnsi="Cambria" w:cs="Times New Roman"/>
          <w:color w:val="171717" w:themeColor="background2" w:themeShade="1A"/>
          <w:szCs w:val="24"/>
        </w:rPr>
        <w:t xml:space="preserve"> ülkelerinden birinde ECHE sahibi bir yükseköğretim kurumunda ya da ilgili bir kuruluşta eğitim almasına imkân sağlayan faaliyet alanıdır. </w: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w:t>
      </w:r>
      <w:proofErr w:type="gramStart"/>
      <w:r w:rsidR="005B2D24">
        <w:rPr>
          <w:rFonts w:ascii="Cambria" w:hAnsi="Cambria" w:cs="Times New Roman"/>
          <w:color w:val="000000" w:themeColor="text1"/>
          <w:szCs w:val="24"/>
        </w:rPr>
        <w:t xml:space="preserve">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dari</w:t>
      </w:r>
      <w:proofErr w:type="gramEnd"/>
      <w:r w:rsidRPr="00993E50">
        <w:rPr>
          <w:rFonts w:ascii="Cambria" w:hAnsi="Cambria" w:cs="Times New Roman"/>
          <w:b/>
          <w:color w:val="000000" w:themeColor="text1"/>
          <w:szCs w:val="24"/>
        </w:rPr>
        <w:t xml:space="preserve">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 xml:space="preserve">Eğitim alma faaliyeti için </w:t>
      </w:r>
      <w:proofErr w:type="spellStart"/>
      <w:r w:rsidRPr="00DF7F3E">
        <w:rPr>
          <w:rFonts w:ascii="Cambria" w:hAnsi="Cambria" w:cs="Times New Roman"/>
          <w:b/>
          <w:color w:val="171717" w:themeColor="background2" w:themeShade="1A"/>
          <w:szCs w:val="24"/>
        </w:rPr>
        <w:t>kurumlararası</w:t>
      </w:r>
      <w:proofErr w:type="spellEnd"/>
      <w:r w:rsidRPr="00DF7F3E">
        <w:rPr>
          <w:rFonts w:ascii="Cambria" w:hAnsi="Cambria" w:cs="Times New Roman"/>
          <w:b/>
          <w:color w:val="171717" w:themeColor="background2" w:themeShade="1A"/>
          <w:szCs w:val="24"/>
        </w:rPr>
        <w:t xml:space="preserve"> anlaşma şartı bulunmamaktadır</w:t>
      </w:r>
      <w:r w:rsidRPr="00DF7F3E">
        <w:rPr>
          <w:rFonts w:ascii="Cambria" w:hAnsi="Cambria" w:cs="Times New Roman"/>
          <w:color w:val="171717" w:themeColor="background2" w:themeShade="1A"/>
          <w:szCs w:val="24"/>
        </w:rPr>
        <w:t xml:space="preserve">.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Program Rehberinde belirtilen diğer kuruluşlar olabilir.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değerlendirilebilmesi için en az 2 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 xml:space="preserve">Personel Eğitim Alma Hareketliliği için faaliyet süresi, seyahat hariç en az ardışık 2 iş günü ve en fazla 2 aydır. </w:t>
      </w:r>
    </w:p>
    <w:p w:rsidR="00DF7F3E" w:rsidRPr="00B7212C"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bCs/>
          <w:color w:val="171717" w:themeColor="background2" w:themeShade="1A"/>
          <w:szCs w:val="24"/>
        </w:rPr>
        <w:t xml:space="preserve">Koordinatörlüğümüz mevcut hibe ile daha fazla personelimizin hareketlilikten yararlanmasını sağlamak amacıyla </w:t>
      </w:r>
      <w:proofErr w:type="spellStart"/>
      <w:r w:rsidRPr="00B7212C">
        <w:rPr>
          <w:rFonts w:ascii="Cambria" w:hAnsi="Cambria" w:cs="Times New Roman"/>
          <w:bCs/>
          <w:color w:val="171717" w:themeColor="background2" w:themeShade="1A"/>
          <w:szCs w:val="24"/>
        </w:rPr>
        <w:t>Erasmus</w:t>
      </w:r>
      <w:proofErr w:type="spellEnd"/>
      <w:r w:rsidRPr="00B7212C">
        <w:rPr>
          <w:rFonts w:ascii="Cambria" w:hAnsi="Cambria" w:cs="Times New Roman"/>
          <w:bCs/>
          <w:color w:val="171717" w:themeColor="background2" w:themeShade="1A"/>
          <w:szCs w:val="24"/>
        </w:rPr>
        <w:t xml:space="preserve"> personel hareketliliği kapsamında hibe ödemesi yapılacak süreyi en fazla 2 iş günü, buna ek olarak, eğitim alınan günleri kapsamamak şartıyl</w:t>
      </w:r>
      <w:r w:rsidR="005B2D24">
        <w:rPr>
          <w:rFonts w:ascii="Cambria" w:hAnsi="Cambria" w:cs="Times New Roman"/>
          <w:bCs/>
          <w:color w:val="171717" w:themeColor="background2" w:themeShade="1A"/>
          <w:szCs w:val="24"/>
        </w:rPr>
        <w:t>a, gidiş ve dönüş 2 gün yol</w:t>
      </w:r>
      <w:r w:rsidRPr="00B7212C">
        <w:rPr>
          <w:rFonts w:ascii="Cambria" w:hAnsi="Cambria" w:cs="Times New Roman"/>
          <w:bCs/>
          <w:color w:val="171717" w:themeColor="background2" w:themeShade="1A"/>
          <w:szCs w:val="24"/>
        </w:rPr>
        <w:t xml:space="preserve"> olarak sınırlandırmıştır.</w:t>
      </w:r>
      <w:r w:rsidRPr="00B7212C">
        <w:rPr>
          <w:rFonts w:ascii="Cambria" w:hAnsi="Cambria" w:cs="Times New Roman"/>
          <w:color w:val="171717" w:themeColor="background2" w:themeShade="1A"/>
          <w:szCs w:val="24"/>
        </w:rPr>
        <w:t xml:space="preserve"> Faaliyetin geçerli bir faaliyet olarak değerlendirilebilmesi için en az 2 gün eğitim alınması zorunludur.</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lastRenderedPageBreak/>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evrakları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w:t>
      </w:r>
      <w:proofErr w:type="gramStart"/>
      <w:r w:rsidRPr="002B5E8C">
        <w:rPr>
          <w:rFonts w:ascii="Cambria" w:hAnsi="Cambria" w:cs="Times New Roman"/>
          <w:color w:val="171717" w:themeColor="background2" w:themeShade="1A"/>
          <w:szCs w:val="24"/>
        </w:rPr>
        <w:t>kriterlere</w:t>
      </w:r>
      <w:proofErr w:type="gramEnd"/>
      <w:r w:rsidRPr="002B5E8C">
        <w:rPr>
          <w:rFonts w:ascii="Cambria" w:hAnsi="Cambria" w:cs="Times New Roman"/>
          <w:color w:val="171717" w:themeColor="background2" w:themeShade="1A"/>
          <w:szCs w:val="24"/>
        </w:rPr>
        <w:t xml:space="preserv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bookmarkStart w:id="0" w:name="_GoBack"/>
      <w:bookmarkEnd w:id="0"/>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w:t>
      </w:r>
      <w:proofErr w:type="gramStart"/>
      <w:r w:rsidR="00B37606">
        <w:rPr>
          <w:rFonts w:ascii="Cambria" w:hAnsi="Cambria" w:cs="Times New Roman"/>
          <w:color w:val="171717" w:themeColor="background2" w:themeShade="1A"/>
          <w:szCs w:val="24"/>
        </w:rPr>
        <w:t>formlarında  yer</w:t>
      </w:r>
      <w:proofErr w:type="gramEnd"/>
      <w:r w:rsidR="00B37606">
        <w:rPr>
          <w:rFonts w:ascii="Cambria" w:hAnsi="Cambria" w:cs="Times New Roman"/>
          <w:color w:val="171717" w:themeColor="background2" w:themeShade="1A"/>
          <w:szCs w:val="24"/>
        </w:rPr>
        <w:t xml:space="preserve">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lastRenderedPageBreak/>
        <w:t>HİBE DESTEĞİ</w:t>
      </w:r>
    </w:p>
    <w:p w:rsidR="00DF7F3E" w:rsidRPr="00DF7F3E" w:rsidRDefault="00DF7F3E" w:rsidP="00DF7F3E">
      <w:pPr>
        <w:spacing w:line="276" w:lineRule="auto"/>
        <w:jc w:val="both"/>
        <w:rPr>
          <w:rFonts w:ascii="Cambria" w:hAnsi="Cambria" w:cs="Times New Roman"/>
          <w:b/>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F59E9" w:rsidRPr="00DF7F3E" w:rsidRDefault="008F59E9" w:rsidP="00DF7F3E">
      <w:pPr>
        <w:spacing w:line="276" w:lineRule="auto"/>
        <w:jc w:val="both"/>
        <w:rPr>
          <w:rFonts w:ascii="Cambria" w:hAnsi="Cambria" w:cs="Times New Roman"/>
          <w:b/>
          <w:bCs/>
          <w:color w:val="000000" w:themeColor="text1"/>
          <w:szCs w:val="24"/>
        </w:rPr>
      </w:pPr>
      <w:r w:rsidRPr="004372D7">
        <w:rPr>
          <w:rFonts w:ascii="Cambria" w:hAnsi="Cambria" w:cs="Times New Roman"/>
          <w:b/>
          <w:bCs/>
          <w:color w:val="C00000"/>
          <w:szCs w:val="24"/>
        </w:rPr>
        <w:t xml:space="preserve">ÖNEMLİ NOT: </w:t>
      </w:r>
      <w:r w:rsidRPr="00DF7F3E">
        <w:rPr>
          <w:rFonts w:ascii="Cambria" w:hAnsi="Cambria" w:cs="Times New Roman"/>
          <w:b/>
          <w:bCs/>
          <w:color w:val="000000" w:themeColor="text1"/>
          <w:szCs w:val="24"/>
        </w:rPr>
        <w:t xml:space="preserve">Koordinatörlüğümüz mevcut hibe ile daha fazla personelimizin hareketlilikten yararlanmasını sağlamak amacıyla </w:t>
      </w:r>
      <w:proofErr w:type="spellStart"/>
      <w:r w:rsidRPr="00DF7F3E">
        <w:rPr>
          <w:rFonts w:ascii="Cambria" w:hAnsi="Cambria" w:cs="Times New Roman"/>
          <w:b/>
          <w:bCs/>
          <w:color w:val="000000" w:themeColor="text1"/>
          <w:szCs w:val="24"/>
        </w:rPr>
        <w:t>Erasmus</w:t>
      </w:r>
      <w:proofErr w:type="spellEnd"/>
      <w:r w:rsidRPr="00DF7F3E">
        <w:rPr>
          <w:rFonts w:ascii="Cambria" w:hAnsi="Cambria" w:cs="Times New Roman"/>
          <w:b/>
          <w:bCs/>
          <w:color w:val="000000" w:themeColor="text1"/>
          <w:szCs w:val="24"/>
        </w:rPr>
        <w:t xml:space="preserve"> personel hareketliliği kapsamında hibe ödemesi yapılacak süreyi en fazla 2 iş günü, buna ek olarak, eğitim alınan veya ders verilen günleri kapsamamak şartıyla, gidiş ve dönüş 2 gün yol, olarak sınırlandırmıştır.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W w:w="8931" w:type="dxa"/>
        <w:tblBorders>
          <w:bottom w:val="single" w:sz="4" w:space="0" w:color="auto"/>
          <w:insideH w:val="single" w:sz="4" w:space="0" w:color="auto"/>
        </w:tblBorders>
        <w:tblLayout w:type="fixed"/>
        <w:tblLook w:val="0000" w:firstRow="0" w:lastRow="0" w:firstColumn="0" w:lastColumn="0" w:noHBand="0" w:noVBand="0"/>
      </w:tblPr>
      <w:tblGrid>
        <w:gridCol w:w="2393"/>
        <w:gridCol w:w="5120"/>
        <w:gridCol w:w="1418"/>
      </w:tblGrid>
      <w:tr w:rsidR="00677C0A" w:rsidRPr="00DF7F3E" w:rsidTr="00DF7F3E">
        <w:trPr>
          <w:trHeight w:val="287"/>
        </w:trPr>
        <w:tc>
          <w:tcPr>
            <w:tcW w:w="2393" w:type="dxa"/>
          </w:tcPr>
          <w:p w:rsidR="00677C0A" w:rsidRPr="00DF7F3E" w:rsidRDefault="00677C0A" w:rsidP="00DF7F3E">
            <w:pPr>
              <w:pStyle w:val="ListeParagraf"/>
              <w:numPr>
                <w:ilvl w:val="0"/>
                <w:numId w:val="5"/>
              </w:numPr>
              <w:tabs>
                <w:tab w:val="left" w:pos="480"/>
              </w:tabs>
              <w:autoSpaceDE w:val="0"/>
              <w:autoSpaceDN w:val="0"/>
              <w:adjustRightInd w:val="0"/>
              <w:spacing w:after="0" w:line="276" w:lineRule="auto"/>
              <w:ind w:left="179" w:firstLine="0"/>
              <w:rPr>
                <w:rFonts w:ascii="Cambria" w:hAnsi="Cambria" w:cs="Times New Roman"/>
                <w:bCs/>
                <w:color w:val="000000"/>
                <w:szCs w:val="24"/>
              </w:rPr>
            </w:pPr>
            <w:r w:rsidRPr="00DF7F3E">
              <w:rPr>
                <w:rFonts w:ascii="Cambria" w:hAnsi="Cambria" w:cs="Times New Roman"/>
                <w:bCs/>
                <w:color w:val="000000"/>
                <w:szCs w:val="24"/>
              </w:rPr>
              <w:t xml:space="preserve">Grup Ülkeler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 xml:space="preserve">Danimarka, Finlandiya, İrlanda, İsveç, İzlanda, Lihtenştayn, Lüksemburg, Norveç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162 </w:t>
            </w:r>
          </w:p>
        </w:tc>
      </w:tr>
      <w:tr w:rsidR="00677C0A" w:rsidRPr="00DF7F3E" w:rsidTr="00DF7F3E">
        <w:trPr>
          <w:trHeight w:val="287"/>
        </w:trPr>
        <w:tc>
          <w:tcPr>
            <w:tcW w:w="2393" w:type="dxa"/>
          </w:tcPr>
          <w:p w:rsidR="00677C0A" w:rsidRPr="00DF7F3E" w:rsidRDefault="00677C0A" w:rsidP="00DF7F3E">
            <w:pPr>
              <w:autoSpaceDE w:val="0"/>
              <w:autoSpaceDN w:val="0"/>
              <w:adjustRightInd w:val="0"/>
              <w:spacing w:after="0" w:line="276" w:lineRule="auto"/>
              <w:ind w:left="179"/>
              <w:rPr>
                <w:rFonts w:ascii="Cambria" w:hAnsi="Cambria" w:cs="Times New Roman"/>
                <w:bCs/>
                <w:color w:val="000000"/>
                <w:szCs w:val="24"/>
              </w:rPr>
            </w:pPr>
            <w:r w:rsidRPr="00DF7F3E">
              <w:rPr>
                <w:rFonts w:ascii="Cambria" w:hAnsi="Cambria" w:cs="Times New Roman"/>
                <w:bCs/>
                <w:color w:val="000000"/>
                <w:szCs w:val="24"/>
              </w:rPr>
              <w:t xml:space="preserve">2. Grup Ülkeler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 xml:space="preserve">Almanya, Avusturya, Belçika, Fransa, Güney Kıbrıs, Hollanda, İspanya, İtalya, Malta, Portekiz, Yunanistan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144 </w:t>
            </w:r>
          </w:p>
        </w:tc>
      </w:tr>
      <w:tr w:rsidR="00677C0A" w:rsidRPr="00DF7F3E" w:rsidTr="00DF7F3E">
        <w:trPr>
          <w:trHeight w:val="287"/>
        </w:trPr>
        <w:tc>
          <w:tcPr>
            <w:tcW w:w="2393" w:type="dxa"/>
          </w:tcPr>
          <w:p w:rsidR="00677C0A" w:rsidRPr="00DF7F3E" w:rsidRDefault="00677C0A" w:rsidP="00DF7F3E">
            <w:pPr>
              <w:autoSpaceDE w:val="0"/>
              <w:autoSpaceDN w:val="0"/>
              <w:adjustRightInd w:val="0"/>
              <w:spacing w:after="0" w:line="276" w:lineRule="auto"/>
              <w:ind w:left="179"/>
              <w:rPr>
                <w:rFonts w:ascii="Cambria" w:hAnsi="Cambria" w:cs="Times New Roman"/>
                <w:bCs/>
                <w:color w:val="000000"/>
                <w:szCs w:val="24"/>
              </w:rPr>
            </w:pPr>
            <w:r w:rsidRPr="00DF7F3E">
              <w:rPr>
                <w:rFonts w:ascii="Cambria" w:hAnsi="Cambria" w:cs="Times New Roman"/>
                <w:bCs/>
                <w:color w:val="000000"/>
                <w:szCs w:val="24"/>
              </w:rPr>
              <w:t xml:space="preserve">3. Grup Ülkeleri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Bulgaristan, Çek Cumhuriyeti, Estonya, Hırvatistan, Kuzey Makedonya, Letonya, Litvanya, Macaristan, Polonya, Romanya, Sırbista</w:t>
            </w:r>
            <w:r w:rsidR="003D155C">
              <w:rPr>
                <w:rFonts w:ascii="Cambria" w:hAnsi="Cambria" w:cs="Times New Roman"/>
                <w:bCs/>
                <w:color w:val="000000"/>
                <w:szCs w:val="24"/>
              </w:rPr>
              <w:t>n, Slovakya, Slovenya</w:t>
            </w:r>
            <w:r w:rsidRPr="00DF7F3E">
              <w:rPr>
                <w:rFonts w:ascii="Cambria" w:hAnsi="Cambria" w:cs="Times New Roman"/>
                <w:bCs/>
                <w:color w:val="000000"/>
                <w:szCs w:val="24"/>
              </w:rPr>
              <w:t xml:space="preserve">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126 </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süre personel hareketliliği için 2 günden kısa olamaz. </w:t>
      </w:r>
    </w:p>
    <w:p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6B5879" w:rsidP="004372D7">
      <w:pPr>
        <w:spacing w:after="0" w:line="240" w:lineRule="auto"/>
        <w:jc w:val="both"/>
        <w:rPr>
          <w:rFonts w:ascii="Cambria" w:hAnsi="Cambria"/>
        </w:rPr>
      </w:pPr>
      <w:hyperlink r:id="rId9"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lastRenderedPageBreak/>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lastRenderedPageBreak/>
        <w:t>Personel eğitim alma hareketliliğinde, katılım sertifikasında yararlanıcının mücbir sebep dışında 2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D72C22"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10"/>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879" w:rsidRDefault="006B5879" w:rsidP="005850E2">
      <w:pPr>
        <w:spacing w:after="0" w:line="240" w:lineRule="auto"/>
      </w:pPr>
      <w:r>
        <w:separator/>
      </w:r>
    </w:p>
  </w:endnote>
  <w:endnote w:type="continuationSeparator" w:id="0">
    <w:p w:rsidR="006B5879" w:rsidRDefault="006B5879"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879" w:rsidRDefault="006B5879" w:rsidP="005850E2">
      <w:pPr>
        <w:spacing w:after="0" w:line="240" w:lineRule="auto"/>
      </w:pPr>
      <w:r>
        <w:separator/>
      </w:r>
    </w:p>
  </w:footnote>
  <w:footnote w:type="continuationSeparator" w:id="0">
    <w:p w:rsidR="006B5879" w:rsidRDefault="006B5879"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86968"/>
    <w:rsid w:val="000B69D6"/>
    <w:rsid w:val="000C405B"/>
    <w:rsid w:val="000E472E"/>
    <w:rsid w:val="000F550E"/>
    <w:rsid w:val="0016462E"/>
    <w:rsid w:val="00164E73"/>
    <w:rsid w:val="001B2D08"/>
    <w:rsid w:val="001C649A"/>
    <w:rsid w:val="001D1C6C"/>
    <w:rsid w:val="00290156"/>
    <w:rsid w:val="002930F1"/>
    <w:rsid w:val="002B0E65"/>
    <w:rsid w:val="002F6F6B"/>
    <w:rsid w:val="00301BEF"/>
    <w:rsid w:val="00334147"/>
    <w:rsid w:val="00344BE8"/>
    <w:rsid w:val="00361612"/>
    <w:rsid w:val="00366EC3"/>
    <w:rsid w:val="0038242D"/>
    <w:rsid w:val="003B016E"/>
    <w:rsid w:val="003D155C"/>
    <w:rsid w:val="003E5AAD"/>
    <w:rsid w:val="00426D08"/>
    <w:rsid w:val="004372D7"/>
    <w:rsid w:val="0044455A"/>
    <w:rsid w:val="005323FE"/>
    <w:rsid w:val="005360D8"/>
    <w:rsid w:val="00540328"/>
    <w:rsid w:val="0057510E"/>
    <w:rsid w:val="005850E2"/>
    <w:rsid w:val="005B2D24"/>
    <w:rsid w:val="005C3BF7"/>
    <w:rsid w:val="005E2CBF"/>
    <w:rsid w:val="00677C0A"/>
    <w:rsid w:val="006826C3"/>
    <w:rsid w:val="0069511E"/>
    <w:rsid w:val="006A66BD"/>
    <w:rsid w:val="006B5879"/>
    <w:rsid w:val="006E6D9E"/>
    <w:rsid w:val="007216C9"/>
    <w:rsid w:val="0073687F"/>
    <w:rsid w:val="00783937"/>
    <w:rsid w:val="007C33BE"/>
    <w:rsid w:val="007E06D6"/>
    <w:rsid w:val="007E50D5"/>
    <w:rsid w:val="00827A80"/>
    <w:rsid w:val="008833BB"/>
    <w:rsid w:val="008936ED"/>
    <w:rsid w:val="00894F1C"/>
    <w:rsid w:val="008C7E48"/>
    <w:rsid w:val="008D1D73"/>
    <w:rsid w:val="008F59E9"/>
    <w:rsid w:val="00913943"/>
    <w:rsid w:val="009163B2"/>
    <w:rsid w:val="00936B5A"/>
    <w:rsid w:val="00993E50"/>
    <w:rsid w:val="009D1FFD"/>
    <w:rsid w:val="009F3FA2"/>
    <w:rsid w:val="009F5DC0"/>
    <w:rsid w:val="00A67185"/>
    <w:rsid w:val="00AC1B01"/>
    <w:rsid w:val="00AE4716"/>
    <w:rsid w:val="00B0395B"/>
    <w:rsid w:val="00B2252B"/>
    <w:rsid w:val="00B37606"/>
    <w:rsid w:val="00B523D3"/>
    <w:rsid w:val="00B7212C"/>
    <w:rsid w:val="00B81A8B"/>
    <w:rsid w:val="00B92273"/>
    <w:rsid w:val="00B94E37"/>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103D"/>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mehmetakif.edu.tr/icerik/165/104/ka131-ikili-anlasm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programmes/erasmus-plus/tools/distance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3DF3-6347-4AFF-9B15-F3978CAD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2109</Words>
  <Characters>12024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67</cp:revision>
  <dcterms:created xsi:type="dcterms:W3CDTF">2024-02-22T20:00:00Z</dcterms:created>
  <dcterms:modified xsi:type="dcterms:W3CDTF">2024-02-23T10:40:00Z</dcterms:modified>
</cp:coreProperties>
</file>