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2022 ve 2023</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KA171 ERASMUS+ PROGRAMI (Programla İlişkili Olmayan Üçüncü Ülkeler</w:t>
      </w:r>
      <w:r w:rsidR="00CE1CF7" w:rsidRPr="00DF7F3E">
        <w:rPr>
          <w:rFonts w:ascii="Cambria" w:hAnsi="Cambria" w:cs="Times New Roman"/>
          <w:b/>
          <w:color w:val="171717" w:themeColor="background2" w:themeShade="1A"/>
          <w:szCs w:val="24"/>
        </w:rPr>
        <w:t>)</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BE1820" w:rsidP="00DF7F3E">
      <w:pPr>
        <w:spacing w:line="276" w:lineRule="auto"/>
        <w:jc w:val="both"/>
      </w:pPr>
      <w:r>
        <w:rPr>
          <w:rFonts w:ascii="Cambria" w:hAnsi="Cambria" w:cs="Times New Roman"/>
          <w:color w:val="171717" w:themeColor="background2" w:themeShade="1A"/>
          <w:szCs w:val="24"/>
        </w:rPr>
        <w:t xml:space="preserve">2022 ve </w:t>
      </w:r>
      <w:r w:rsidR="00FC7CCB">
        <w:rPr>
          <w:rFonts w:ascii="Cambria" w:hAnsi="Cambria" w:cs="Times New Roman"/>
          <w:color w:val="171717" w:themeColor="background2" w:themeShade="1A"/>
          <w:szCs w:val="24"/>
        </w:rPr>
        <w:t>2023</w:t>
      </w:r>
      <w:r w:rsidR="00CE1CF7" w:rsidRPr="00DF7F3E">
        <w:rPr>
          <w:rFonts w:ascii="Cambria" w:hAnsi="Cambria" w:cs="Times New Roman"/>
          <w:color w:val="171717" w:themeColor="background2" w:themeShade="1A"/>
          <w:szCs w:val="24"/>
        </w:rPr>
        <w:t xml:space="preserve"> Proje Yılı </w:t>
      </w:r>
      <w:r w:rsidR="002D40DE">
        <w:rPr>
          <w:rFonts w:ascii="Cambria" w:hAnsi="Cambria" w:cs="Times New Roman"/>
          <w:color w:val="171717" w:themeColor="background2" w:themeShade="1A"/>
          <w:szCs w:val="24"/>
        </w:rPr>
        <w:t xml:space="preserve">KA171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sidRPr="00BE1820">
        <w:rPr>
          <w:rFonts w:ascii="Cambria" w:hAnsi="Cambria" w:cs="Times New Roman"/>
          <w:b/>
          <w:color w:val="171717" w:themeColor="background2" w:themeShade="1A"/>
          <w:szCs w:val="24"/>
          <w:highlight w:val="yellow"/>
        </w:rPr>
        <w:t>03.06.2024 – 14.06.2024</w:t>
      </w:r>
      <w:r w:rsidR="002D40DE">
        <w:rPr>
          <w:rFonts w:ascii="Cambria" w:hAnsi="Cambria" w:cs="Times New Roman"/>
          <w:b/>
          <w:color w:val="171717" w:themeColor="background2" w:themeShade="1A"/>
          <w:szCs w:val="24"/>
          <w:highlight w:val="yellow"/>
        </w:rPr>
        <w:t xml:space="preserve"> </w:t>
      </w:r>
      <w:r w:rsidR="004372D7" w:rsidRPr="00BE1820">
        <w:rPr>
          <w:rFonts w:ascii="Cambria" w:hAnsi="Cambria" w:cs="Times New Roman"/>
          <w:color w:val="171717" w:themeColor="background2" w:themeShade="1A"/>
          <w:szCs w:val="24"/>
          <w:highlight w:val="yellow"/>
        </w:rPr>
        <w:t xml:space="preserve">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BE1820">
        <w:rPr>
          <w:rFonts w:ascii="Cambria" w:hAnsi="Cambria" w:cs="Times New Roman"/>
          <w:color w:val="171717" w:themeColor="background2" w:themeShade="1A"/>
          <w:szCs w:val="24"/>
        </w:rPr>
        <w:t>14 Haziran</w:t>
      </w:r>
      <w:r w:rsidR="00FC7CCB">
        <w:rPr>
          <w:rFonts w:ascii="Cambria" w:hAnsi="Cambria" w:cs="Times New Roman"/>
          <w:color w:val="171717" w:themeColor="background2" w:themeShade="1A"/>
          <w:szCs w:val="24"/>
        </w:rPr>
        <w:t xml:space="preserve">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evrakların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 xml:space="preserve">Kontenjanlar, </w:t>
      </w:r>
      <w:r w:rsidR="00B60F3A">
        <w:rPr>
          <w:rFonts w:ascii="Cambria" w:hAnsi="Cambria" w:cs="Times New Roman"/>
          <w:b/>
          <w:color w:val="171717" w:themeColor="background2" w:themeShade="1A"/>
          <w:szCs w:val="24"/>
        </w:rPr>
        <w:t xml:space="preserve">2022 ve </w:t>
      </w:r>
      <w:r>
        <w:rPr>
          <w:rFonts w:ascii="Cambria" w:hAnsi="Cambria" w:cs="Times New Roman"/>
          <w:b/>
          <w:color w:val="171717" w:themeColor="background2" w:themeShade="1A"/>
          <w:szCs w:val="24"/>
        </w:rPr>
        <w:t>2023 Proje Yılı için Üniversitemize tahsis edilen hibe doğrultusunda Ulusal Ajans tarafından belirlenmiştir.</w:t>
      </w:r>
    </w:p>
    <w:tbl>
      <w:tblPr>
        <w:tblStyle w:val="TabloKlavuzu1"/>
        <w:tblW w:w="9368" w:type="dxa"/>
        <w:tblLook w:val="04A0" w:firstRow="1" w:lastRow="0" w:firstColumn="1" w:lastColumn="0" w:noHBand="0" w:noVBand="1"/>
      </w:tblPr>
      <w:tblGrid>
        <w:gridCol w:w="1454"/>
        <w:gridCol w:w="1625"/>
        <w:gridCol w:w="1284"/>
        <w:gridCol w:w="1529"/>
        <w:gridCol w:w="1142"/>
        <w:gridCol w:w="687"/>
        <w:gridCol w:w="1647"/>
      </w:tblGrid>
      <w:tr w:rsidR="002D40DE" w:rsidRPr="002D40DE" w:rsidTr="00001377">
        <w:trPr>
          <w:trHeight w:val="833"/>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ÜLKE</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ÜNİVERSİTE</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 Türü</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Hareketlilikten faydalanmak için son tarih</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Kontenjan</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Proje Yılı</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Bölüm/Program</w:t>
            </w:r>
          </w:p>
        </w:tc>
      </w:tr>
      <w:tr w:rsidR="002D40DE" w:rsidRPr="002D40DE" w:rsidTr="00001377">
        <w:trPr>
          <w:trHeight w:val="560"/>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GÜRCİSTAN</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GEORGIAN AMERICAN UNIVERSITY</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İşletme</w:t>
            </w:r>
          </w:p>
        </w:tc>
      </w:tr>
      <w:tr w:rsidR="002D40DE" w:rsidRPr="002D40DE" w:rsidTr="00001377">
        <w:trPr>
          <w:trHeight w:val="547"/>
        </w:trPr>
        <w:tc>
          <w:tcPr>
            <w:tcW w:w="1023"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ARNAVUTLUK</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UNIVERSITY OF TIRANA</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Biyoloji</w:t>
            </w:r>
          </w:p>
        </w:tc>
      </w:tr>
      <w:tr w:rsidR="002D40DE" w:rsidRPr="002D40DE" w:rsidTr="00001377">
        <w:trPr>
          <w:trHeight w:val="572"/>
        </w:trPr>
        <w:tc>
          <w:tcPr>
            <w:tcW w:w="1023" w:type="dxa"/>
            <w:vMerge/>
          </w:tcPr>
          <w:p w:rsidR="002D40DE" w:rsidRPr="002D40DE" w:rsidRDefault="002D40DE" w:rsidP="002D40DE">
            <w:pPr>
              <w:rPr>
                <w:rFonts w:ascii="Calibri" w:eastAsia="Calibri" w:hAnsi="Calibri" w:cs="Times New Roman"/>
              </w:rPr>
            </w:pP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AGRICULTURAL UNIVERSITY OF TIRANA</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Gıda Mühendisliği</w:t>
            </w:r>
          </w:p>
        </w:tc>
      </w:tr>
      <w:tr w:rsidR="002D40DE" w:rsidRPr="002D40DE" w:rsidTr="00001377">
        <w:trPr>
          <w:trHeight w:val="547"/>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ÜRDÜN</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AL-ALBAYT UNIVERSITY</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tc>
      </w:tr>
      <w:tr w:rsidR="002D40DE" w:rsidRPr="002D40DE" w:rsidTr="00001377">
        <w:trPr>
          <w:trHeight w:val="336"/>
        </w:trPr>
        <w:tc>
          <w:tcPr>
            <w:tcW w:w="1023"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CEZAYİR</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UNIVERSITY OF OUM EL BOUAGHI</w:t>
            </w:r>
          </w:p>
        </w:tc>
        <w:tc>
          <w:tcPr>
            <w:tcW w:w="129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36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158"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p w:rsidR="002D40DE" w:rsidRPr="002D40DE" w:rsidRDefault="002D40DE" w:rsidP="002D40DE">
            <w:pPr>
              <w:rPr>
                <w:rFonts w:ascii="Calibri" w:eastAsia="Calibri" w:hAnsi="Calibri" w:cs="Times New Roman"/>
              </w:rPr>
            </w:pPr>
            <w:r w:rsidRPr="002D40DE">
              <w:rPr>
                <w:rFonts w:ascii="Calibri" w:eastAsia="Calibri" w:hAnsi="Calibri" w:cs="Times New Roman"/>
              </w:rPr>
              <w:t>İngilizce Öğretmenliği</w:t>
            </w:r>
          </w:p>
        </w:tc>
      </w:tr>
      <w:tr w:rsidR="002D40DE" w:rsidRPr="002D40DE" w:rsidTr="00001377">
        <w:trPr>
          <w:trHeight w:val="336"/>
        </w:trPr>
        <w:tc>
          <w:tcPr>
            <w:tcW w:w="1023" w:type="dxa"/>
            <w:vMerge/>
          </w:tcPr>
          <w:p w:rsidR="002D40DE" w:rsidRPr="002D40DE" w:rsidRDefault="002D40DE" w:rsidP="002D40DE">
            <w:pPr>
              <w:rPr>
                <w:rFonts w:ascii="Calibri" w:eastAsia="Calibri" w:hAnsi="Calibri" w:cs="Times New Roman"/>
              </w:rPr>
            </w:pP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UNIVERSITE DES FRERES MENTOURI CONSTANTINE</w:t>
            </w:r>
          </w:p>
        </w:tc>
        <w:tc>
          <w:tcPr>
            <w:tcW w:w="1297" w:type="dxa"/>
            <w:vMerge/>
          </w:tcPr>
          <w:p w:rsidR="002D40DE" w:rsidRPr="002D40DE" w:rsidRDefault="002D40DE" w:rsidP="002D40DE">
            <w:pPr>
              <w:rPr>
                <w:rFonts w:ascii="Calibri" w:eastAsia="Calibri" w:hAnsi="Calibri" w:cs="Times New Roman"/>
              </w:rPr>
            </w:pPr>
          </w:p>
        </w:tc>
        <w:tc>
          <w:tcPr>
            <w:tcW w:w="1167" w:type="dxa"/>
            <w:vMerge/>
          </w:tcPr>
          <w:p w:rsidR="002D40DE" w:rsidRPr="002D40DE" w:rsidRDefault="002D40DE" w:rsidP="002D40DE">
            <w:pPr>
              <w:rPr>
                <w:rFonts w:ascii="Calibri" w:eastAsia="Calibri" w:hAnsi="Calibri" w:cs="Times New Roman"/>
              </w:rPr>
            </w:pPr>
          </w:p>
        </w:tc>
        <w:tc>
          <w:tcPr>
            <w:tcW w:w="1367" w:type="dxa"/>
            <w:vMerge/>
          </w:tcPr>
          <w:p w:rsidR="002D40DE" w:rsidRPr="002D40DE" w:rsidRDefault="002D40DE" w:rsidP="002D40DE">
            <w:pPr>
              <w:rPr>
                <w:rFonts w:ascii="Calibri" w:eastAsia="Calibri" w:hAnsi="Calibri" w:cs="Times New Roman"/>
              </w:rPr>
            </w:pPr>
          </w:p>
        </w:tc>
        <w:tc>
          <w:tcPr>
            <w:tcW w:w="757" w:type="dxa"/>
            <w:vMerge/>
          </w:tcPr>
          <w:p w:rsidR="002D40DE" w:rsidRPr="002D40DE" w:rsidRDefault="002D40DE" w:rsidP="002D40DE">
            <w:pPr>
              <w:rPr>
                <w:rFonts w:ascii="Calibri" w:eastAsia="Calibri" w:hAnsi="Calibri" w:cs="Times New Roman"/>
              </w:rPr>
            </w:pPr>
          </w:p>
        </w:tc>
        <w:tc>
          <w:tcPr>
            <w:tcW w:w="1158" w:type="dxa"/>
            <w:vMerge/>
          </w:tcPr>
          <w:p w:rsidR="002D40DE" w:rsidRPr="002D40DE" w:rsidRDefault="002D40DE" w:rsidP="002D40DE">
            <w:pPr>
              <w:rPr>
                <w:rFonts w:ascii="Calibri" w:eastAsia="Calibri" w:hAnsi="Calibri" w:cs="Times New Roman"/>
              </w:rPr>
            </w:pPr>
          </w:p>
        </w:tc>
      </w:tr>
    </w:tbl>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2D40DE" w:rsidRDefault="002D40DE" w:rsidP="00DF7F3E">
      <w:pPr>
        <w:spacing w:line="276" w:lineRule="auto"/>
        <w:jc w:val="both"/>
        <w:rPr>
          <w:rFonts w:ascii="Cambria" w:hAnsi="Cambria" w:cs="Times New Roman"/>
          <w:color w:val="171717" w:themeColor="background2" w:themeShade="1A"/>
          <w:szCs w:val="24"/>
        </w:rPr>
      </w:pPr>
      <w:proofErr w:type="gramStart"/>
      <w:r w:rsidRPr="002D40DE">
        <w:rPr>
          <w:rFonts w:ascii="Cambria" w:hAnsi="Cambria" w:cs="Times New Roman"/>
          <w:color w:val="171717" w:themeColor="background2" w:themeShade="1A"/>
          <w:szCs w:val="24"/>
        </w:rPr>
        <w:t xml:space="preserve">Personel ders verme hareketliliği Türkiye’de ECHE sahibi bir yükseköğretim kurumunda ders vermekle yükümlü olan bir personelin, Programla İlişkili Olmayan Üçüncü Ülkedeki bir yükseköğretim kurumunda veya Programla İlişkili Olmayan Üçüncü Ülkedeki bir yükseköğretim kurumunda ders vermekle yükümlü olan bir personelin Türkiye’de ECHE sahibi bir yükseköğretim kurumunda öğrencilere ders vermesine ve ders vermeye ilişkin olarak karşı kurumla ortaklaşa akademik/eğitsel faaliyetler gerçekleştirmesine imkân sağlayan faaliyet alanıdır. </w:t>
      </w:r>
      <w:proofErr w:type="gramEnd"/>
      <w:r w:rsidRPr="002D40DE">
        <w:rPr>
          <w:rFonts w:ascii="Cambria" w:hAnsi="Cambria" w:cs="Times New Roman"/>
          <w:color w:val="171717" w:themeColor="background2" w:themeShade="1A"/>
          <w:szCs w:val="24"/>
        </w:rPr>
        <w:t xml:space="preserve">İlave olarak, Programla İlişkili Olmayan Üçüncü bir ülkedeki yükseköğretim kurumunun Programla İlişkili Ülkedeki işletmelerden ve Programla İlişkili Ülkedeki yükseköğretim </w:t>
      </w:r>
      <w:r w:rsidRPr="002D40DE">
        <w:rPr>
          <w:rFonts w:ascii="Cambria" w:hAnsi="Cambria" w:cs="Times New Roman"/>
          <w:color w:val="171717" w:themeColor="background2" w:themeShade="1A"/>
          <w:szCs w:val="24"/>
        </w:rPr>
        <w:lastRenderedPageBreak/>
        <w:t xml:space="preserve">kurumunun Programla İlişkili Olmayan Üçüncü bir ülkedeki işletmelerden ders vermek üzere personel davet etmesi mümkündür.  </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w:t>
      </w:r>
      <w:r w:rsidR="002D40DE">
        <w:rPr>
          <w:rFonts w:ascii="Cambria" w:hAnsi="Cambria" w:cs="Times New Roman"/>
          <w:color w:val="171717" w:themeColor="background2" w:themeShade="1A"/>
          <w:szCs w:val="24"/>
        </w:rPr>
        <w:t>i, seyahat hariç en az ardışık 5</w:t>
      </w:r>
      <w:r w:rsidRPr="00DF7F3E">
        <w:rPr>
          <w:rFonts w:ascii="Cambria" w:hAnsi="Cambria" w:cs="Times New Roman"/>
          <w:color w:val="171717" w:themeColor="background2" w:themeShade="1A"/>
          <w:szCs w:val="24"/>
        </w:rPr>
        <w:t xml:space="preserve">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Faaliyetin geçerli bir faaliyet olarak de</w:t>
      </w:r>
      <w:r w:rsidR="002D40DE">
        <w:rPr>
          <w:rFonts w:ascii="Cambria" w:hAnsi="Cambria" w:cs="Times New Roman"/>
          <w:b/>
          <w:color w:val="171717" w:themeColor="background2" w:themeShade="1A"/>
          <w:szCs w:val="24"/>
        </w:rPr>
        <w:t>ğerlendirilebilmesi için en az 5</w:t>
      </w:r>
      <w:r w:rsidR="00816E59">
        <w:rPr>
          <w:rFonts w:ascii="Cambria" w:hAnsi="Cambria" w:cs="Times New Roman"/>
          <w:b/>
          <w:color w:val="171717" w:themeColor="background2" w:themeShade="1A"/>
          <w:szCs w:val="24"/>
        </w:rPr>
        <w:t xml:space="preserve"> ardışık</w:t>
      </w:r>
      <w:r w:rsidRPr="00DF7F3E">
        <w:rPr>
          <w:rFonts w:ascii="Cambria" w:hAnsi="Cambria" w:cs="Times New Roman"/>
          <w:b/>
          <w:color w:val="171717" w:themeColor="background2" w:themeShade="1A"/>
          <w:szCs w:val="24"/>
        </w:rPr>
        <w:t xml:space="preserve">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816E59" w:rsidRDefault="00816E59" w:rsidP="00DF7F3E">
      <w:pPr>
        <w:spacing w:line="276" w:lineRule="auto"/>
        <w:jc w:val="both"/>
        <w:rPr>
          <w:rFonts w:ascii="Cambria" w:hAnsi="Cambria" w:cs="Times New Roman"/>
          <w:color w:val="171717" w:themeColor="background2" w:themeShade="1A"/>
          <w:szCs w:val="24"/>
        </w:rPr>
      </w:pPr>
      <w:proofErr w:type="gramStart"/>
      <w:r w:rsidRPr="00816E59">
        <w:rPr>
          <w:rFonts w:ascii="Cambria" w:hAnsi="Cambria" w:cs="Times New Roman"/>
          <w:color w:val="171717" w:themeColor="background2" w:themeShade="1A"/>
          <w:szCs w:val="24"/>
        </w:rPr>
        <w:t xml:space="preserve">Personel eğitim alma hareketliliği Türkiye’de ECHE sahibi bir yükseköğretim kurumunda istihdam edilmiş herhangi bir personelin, Programla İlişkili Olmayan Üçüncü Ülkelerin birinde bir yükseköğretim kurumunda eğitim almasına veya Programla İlişkili Olmayan Üçüncü Ülkedeki bir yükseköğretim kurumunda istihdam edilmiş personelin Türkiye’de bir yükseköğretim kurumunda ya da işletmede eğitim almasına imkân sağlayan faaliyet alanıdır. </w:t>
      </w:r>
      <w:proofErr w:type="gramEnd"/>
      <w:r w:rsidRPr="00816E59">
        <w:rPr>
          <w:rFonts w:ascii="Cambria" w:hAnsi="Cambria" w:cs="Times New Roman"/>
          <w:color w:val="171717" w:themeColor="background2" w:themeShade="1A"/>
          <w:szCs w:val="24"/>
        </w:rPr>
        <w:t xml:space="preserve">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Türkiye’de yerleşik ECHE sahibi bir yükseköğretim kurumunda istihdam edilmiş personelin, eğitim almak üzere Programla İlişkili Olmayan Üçüncü ülkede bir işletmeye gidebilmesi mümkün değildir.  </w:t>
      </w:r>
    </w:p>
    <w:p w:rsidR="002D40DE" w:rsidRDefault="00816E59"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096E97A9" wp14:editId="72BCEDDB">
                <wp:simplePos x="0" y="0"/>
                <wp:positionH relativeFrom="margin">
                  <wp:align>left</wp:align>
                </wp:positionH>
                <wp:positionV relativeFrom="paragraph">
                  <wp:posOffset>276860</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203E59" id="Yuvarlatılmış Dikdörtgen 5" o:spid="_x0000_s1026" style="position:absolute;margin-left:0;margin-top:21.8pt;width:459.75pt;height:47.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" fillcolor="#cfcdcd [2894]" stroked="f" strokeweight="1pt">
                <v:stroke joinstyle="miter"/>
                <w10:wrap anchorx="margin"/>
              </v:roundrect>
            </w:pict>
          </mc:Fallback>
        </mc:AlternateConten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w:t>
      </w:r>
      <w:proofErr w:type="gramStart"/>
      <w:r w:rsidR="005B2D24">
        <w:rPr>
          <w:rFonts w:ascii="Cambria" w:hAnsi="Cambria" w:cs="Times New Roman"/>
          <w:color w:val="000000" w:themeColor="text1"/>
          <w:szCs w:val="24"/>
        </w:rPr>
        <w:t xml:space="preserve">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dari</w:t>
      </w:r>
      <w:proofErr w:type="gramEnd"/>
      <w:r w:rsidRPr="00993E50">
        <w:rPr>
          <w:rFonts w:ascii="Cambria" w:hAnsi="Cambria" w:cs="Times New Roman"/>
          <w:b/>
          <w:color w:val="000000" w:themeColor="text1"/>
          <w:szCs w:val="24"/>
        </w:rPr>
        <w:t xml:space="preserve">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w:t>
      </w:r>
      <w:r w:rsidR="00816E59">
        <w:rPr>
          <w:rFonts w:ascii="Cambria" w:hAnsi="Cambria" w:cs="Times New Roman"/>
          <w:b/>
          <w:color w:val="C00000"/>
          <w:szCs w:val="24"/>
        </w:rPr>
        <w:t>ğerlendirilebilmesi için en az 5</w:t>
      </w:r>
      <w:r w:rsidRPr="00B7212C">
        <w:rPr>
          <w:rFonts w:ascii="Cambria" w:hAnsi="Cambria" w:cs="Times New Roman"/>
          <w:b/>
          <w:color w:val="C00000"/>
          <w:szCs w:val="24"/>
        </w:rPr>
        <w:t xml:space="preserve"> </w:t>
      </w:r>
      <w:r w:rsidR="00816E59">
        <w:rPr>
          <w:rFonts w:ascii="Cambria" w:hAnsi="Cambria" w:cs="Times New Roman"/>
          <w:b/>
          <w:color w:val="C00000"/>
          <w:szCs w:val="24"/>
        </w:rPr>
        <w:t xml:space="preserve">ardışık </w:t>
      </w:r>
      <w:r w:rsidRPr="00B7212C">
        <w:rPr>
          <w:rFonts w:ascii="Cambria" w:hAnsi="Cambria" w:cs="Times New Roman"/>
          <w:b/>
          <w:color w:val="C00000"/>
          <w:szCs w:val="24"/>
        </w:rPr>
        <w:t>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Personel Eğitim Alma Hareketliliği için faaliyet süres</w:t>
      </w:r>
      <w:r w:rsidR="00816E59">
        <w:rPr>
          <w:rFonts w:ascii="Cambria" w:hAnsi="Cambria" w:cs="Times New Roman"/>
          <w:color w:val="171717" w:themeColor="background2" w:themeShade="1A"/>
          <w:szCs w:val="24"/>
        </w:rPr>
        <w:t>i, seyahat hariç en az ardışık 5</w:t>
      </w:r>
      <w:r w:rsidRPr="00B7212C">
        <w:rPr>
          <w:rFonts w:ascii="Cambria" w:hAnsi="Cambria" w:cs="Times New Roman"/>
          <w:color w:val="171717" w:themeColor="background2" w:themeShade="1A"/>
          <w:szCs w:val="24"/>
        </w:rPr>
        <w:t xml:space="preserve"> iş günü ve en fazla 2 aydır. </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lastRenderedPageBreak/>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evrakları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w:t>
      </w:r>
      <w:proofErr w:type="gramStart"/>
      <w:r w:rsidRPr="002B5E8C">
        <w:rPr>
          <w:rFonts w:ascii="Cambria" w:hAnsi="Cambria" w:cs="Times New Roman"/>
          <w:color w:val="171717" w:themeColor="background2" w:themeShade="1A"/>
          <w:szCs w:val="24"/>
        </w:rPr>
        <w:t>kriterlere</w:t>
      </w:r>
      <w:proofErr w:type="gramEnd"/>
      <w:r w:rsidRPr="002B5E8C">
        <w:rPr>
          <w:rFonts w:ascii="Cambria" w:hAnsi="Cambria" w:cs="Times New Roman"/>
          <w:color w:val="171717" w:themeColor="background2" w:themeShade="1A"/>
          <w:szCs w:val="24"/>
        </w:rPr>
        <w:t xml:space="preserv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lastRenderedPageBreak/>
        <w:t>Değerlendirme</w:t>
      </w:r>
      <w:r w:rsidR="00B37606">
        <w:rPr>
          <w:rFonts w:ascii="Cambria" w:hAnsi="Cambria" w:cs="Times New Roman"/>
          <w:color w:val="171717" w:themeColor="background2" w:themeShade="1A"/>
          <w:szCs w:val="24"/>
        </w:rPr>
        <w:t xml:space="preserve"> ilanın ekindeki eğitim alma hareketliliği ve ders verme hareketliliği başvuru </w:t>
      </w:r>
      <w:proofErr w:type="gramStart"/>
      <w:r w:rsidR="00B37606">
        <w:rPr>
          <w:rFonts w:ascii="Cambria" w:hAnsi="Cambria" w:cs="Times New Roman"/>
          <w:color w:val="171717" w:themeColor="background2" w:themeShade="1A"/>
          <w:szCs w:val="24"/>
        </w:rPr>
        <w:t>formlarında  yer</w:t>
      </w:r>
      <w:proofErr w:type="gramEnd"/>
      <w:r w:rsidR="00B37606">
        <w:rPr>
          <w:rFonts w:ascii="Cambria" w:hAnsi="Cambria" w:cs="Times New Roman"/>
          <w:color w:val="171717" w:themeColor="background2" w:themeShade="1A"/>
          <w:szCs w:val="24"/>
        </w:rPr>
        <w:t xml:space="preserve">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Pr="00DF7F3E" w:rsidRDefault="00DF7F3E" w:rsidP="00DF7F3E">
      <w:pPr>
        <w:spacing w:line="276" w:lineRule="auto"/>
        <w:jc w:val="both"/>
        <w:rPr>
          <w:rFonts w:ascii="Cambria" w:hAnsi="Cambria" w:cs="Times New Roman"/>
          <w:b/>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Style w:val="TabloKlavuzu"/>
        <w:tblW w:w="0" w:type="auto"/>
        <w:tblLook w:val="04A0" w:firstRow="1" w:lastRow="0" w:firstColumn="1" w:lastColumn="0" w:noHBand="0" w:noVBand="1"/>
      </w:tblPr>
      <w:tblGrid>
        <w:gridCol w:w="3020"/>
        <w:gridCol w:w="3020"/>
        <w:gridCol w:w="3020"/>
      </w:tblGrid>
      <w:tr w:rsidR="00976C2A" w:rsidTr="00976C2A">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Gönderen Ülke</w:t>
            </w:r>
          </w:p>
        </w:tc>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Kabul Eden Ülke</w:t>
            </w:r>
          </w:p>
        </w:tc>
        <w:tc>
          <w:tcPr>
            <w:tcW w:w="3020" w:type="dxa"/>
          </w:tcPr>
          <w:p w:rsidR="00976C2A" w:rsidRPr="00082B33" w:rsidRDefault="00976C2A" w:rsidP="00DF7F3E">
            <w:pPr>
              <w:spacing w:line="276" w:lineRule="auto"/>
              <w:rPr>
                <w:rFonts w:ascii="Cambria" w:hAnsi="Cambria" w:cs="Times New Roman"/>
                <w:b/>
                <w:sz w:val="20"/>
                <w:highlight w:val="lightGray"/>
              </w:rPr>
            </w:pPr>
            <w:proofErr w:type="spellStart"/>
            <w:r w:rsidRPr="00082B33">
              <w:rPr>
                <w:rFonts w:ascii="Cambria" w:hAnsi="Cambria" w:cs="Times New Roman"/>
                <w:b/>
                <w:sz w:val="20"/>
                <w:highlight w:val="lightGray"/>
              </w:rPr>
              <w:t>Güklük</w:t>
            </w:r>
            <w:proofErr w:type="spellEnd"/>
            <w:r w:rsidRPr="00082B33">
              <w:rPr>
                <w:rFonts w:ascii="Cambria" w:hAnsi="Cambria" w:cs="Times New Roman"/>
                <w:b/>
                <w:sz w:val="20"/>
                <w:highlight w:val="lightGray"/>
              </w:rPr>
              <w:t xml:space="preserve"> Hibe </w:t>
            </w:r>
            <w:proofErr w:type="spellStart"/>
            <w:r w:rsidRPr="00082B33">
              <w:rPr>
                <w:rFonts w:ascii="Cambria" w:hAnsi="Cambria" w:cs="Times New Roman"/>
                <w:b/>
                <w:sz w:val="20"/>
                <w:highlight w:val="lightGray"/>
              </w:rPr>
              <w:t>Müktarları</w:t>
            </w:r>
            <w:proofErr w:type="spellEnd"/>
            <w:r w:rsidRPr="00082B33">
              <w:rPr>
                <w:rFonts w:ascii="Cambria" w:hAnsi="Cambria" w:cs="Times New Roman"/>
                <w:b/>
                <w:sz w:val="20"/>
                <w:highlight w:val="lightGray"/>
              </w:rPr>
              <w:t>(Avro)</w:t>
            </w:r>
          </w:p>
        </w:tc>
      </w:tr>
      <w:tr w:rsidR="00976C2A" w:rsidTr="00976C2A">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Türkiye</w:t>
            </w:r>
          </w:p>
        </w:tc>
        <w:tc>
          <w:tcPr>
            <w:tcW w:w="3020" w:type="dxa"/>
          </w:tcPr>
          <w:p w:rsidR="00976C2A" w:rsidRDefault="00976C2A" w:rsidP="00DF7F3E">
            <w:pPr>
              <w:spacing w:line="276" w:lineRule="auto"/>
              <w:rPr>
                <w:rFonts w:ascii="Cambria" w:hAnsi="Cambria" w:cs="Times New Roman"/>
                <w:b/>
                <w:sz w:val="20"/>
              </w:rPr>
            </w:pPr>
            <w:r w:rsidRPr="00976C2A">
              <w:rPr>
                <w:rFonts w:ascii="Cambria" w:hAnsi="Cambria" w:cs="Times New Roman"/>
                <w:b/>
                <w:sz w:val="20"/>
              </w:rPr>
              <w:t>1-12. Bölgelerde Yer Alan Programla İlişkili Olmayan Üçüncü Ülkeler</w:t>
            </w:r>
          </w:p>
        </w:tc>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180 Avro</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w:t>
      </w:r>
      <w:r w:rsidR="00082B33">
        <w:rPr>
          <w:rFonts w:ascii="Cambria" w:hAnsi="Cambria"/>
          <w:sz w:val="22"/>
        </w:rPr>
        <w:t>re personel hareketliliği için 5</w:t>
      </w:r>
      <w:r w:rsidRPr="00DF7F3E">
        <w:rPr>
          <w:rFonts w:ascii="Cambria" w:hAnsi="Cambria"/>
          <w:sz w:val="22"/>
        </w:rPr>
        <w:t xml:space="preserve"> günden kısa olamaz. </w:t>
      </w:r>
    </w:p>
    <w:p w:rsidR="00C563F6" w:rsidRPr="00DF7F3E" w:rsidRDefault="00E270E0" w:rsidP="00DF7F3E">
      <w:pPr>
        <w:spacing w:line="276" w:lineRule="auto"/>
        <w:jc w:val="both"/>
        <w:rPr>
          <w:rFonts w:ascii="Cambria" w:hAnsi="Cambria" w:cs="Times New Roman"/>
          <w:szCs w:val="24"/>
        </w:rPr>
      </w:pPr>
      <w:r w:rsidRPr="00DF7F3E">
        <w:rPr>
          <w:rFonts w:ascii="Cambria" w:hAnsi="Cambria" w:cs="Times New Roman"/>
          <w:szCs w:val="24"/>
        </w:rPr>
        <w:t>Faaliyetten önceki bir seyahat günü ve faaliyeti takip eden bir seyahat günü için bireysel destek hibesi v</w:t>
      </w:r>
      <w:r w:rsidR="00FC6B0F" w:rsidRPr="00DF7F3E">
        <w:rPr>
          <w:rFonts w:ascii="Cambria" w:hAnsi="Cambria" w:cs="Times New Roman"/>
          <w:szCs w:val="24"/>
        </w:rPr>
        <w:t>erilir.</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436BA4" w:rsidP="004372D7">
      <w:pPr>
        <w:spacing w:after="0" w:line="240" w:lineRule="auto"/>
        <w:jc w:val="both"/>
        <w:rPr>
          <w:rFonts w:ascii="Cambria" w:hAnsi="Cambria"/>
        </w:rPr>
      </w:pPr>
      <w:hyperlink r:id="rId8"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lastRenderedPageBreak/>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w:t>
      </w:r>
      <w:r w:rsidR="00082B33">
        <w:rPr>
          <w:rFonts w:ascii="Cambria" w:hAnsi="Cambria" w:cs="Times New Roman"/>
          <w:szCs w:val="24"/>
        </w:rPr>
        <w:t>lanıcının mücbir sebep dışında 5</w:t>
      </w:r>
      <w:r w:rsidRPr="00DF7F3E">
        <w:rPr>
          <w:rFonts w:ascii="Cambria" w:hAnsi="Cambria" w:cs="Times New Roman"/>
          <w:szCs w:val="24"/>
        </w:rPr>
        <w:t xml:space="preserve">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eğitim alma hareketliliğinde, katılım sertifikasında yararlanıcının mücbir sebep dışında 2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lastRenderedPageBreak/>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082B33"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2022 ve 2023</w:t>
      </w:r>
      <w:bookmarkStart w:id="0" w:name="_GoBack"/>
      <w:bookmarkEnd w:id="0"/>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9"/>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BA4" w:rsidRDefault="00436BA4" w:rsidP="005850E2">
      <w:pPr>
        <w:spacing w:after="0" w:line="240" w:lineRule="auto"/>
      </w:pPr>
      <w:r>
        <w:separator/>
      </w:r>
    </w:p>
  </w:endnote>
  <w:endnote w:type="continuationSeparator" w:id="0">
    <w:p w:rsidR="00436BA4" w:rsidRDefault="00436BA4"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BA4" w:rsidRDefault="00436BA4" w:rsidP="005850E2">
      <w:pPr>
        <w:spacing w:after="0" w:line="240" w:lineRule="auto"/>
      </w:pPr>
      <w:r>
        <w:separator/>
      </w:r>
    </w:p>
  </w:footnote>
  <w:footnote w:type="continuationSeparator" w:id="0">
    <w:p w:rsidR="00436BA4" w:rsidRDefault="00436BA4"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82B33"/>
    <w:rsid w:val="00086968"/>
    <w:rsid w:val="000B69D6"/>
    <w:rsid w:val="000C405B"/>
    <w:rsid w:val="000E472E"/>
    <w:rsid w:val="000F550E"/>
    <w:rsid w:val="0016462E"/>
    <w:rsid w:val="00164E73"/>
    <w:rsid w:val="001B2D08"/>
    <w:rsid w:val="001C649A"/>
    <w:rsid w:val="001D1C6C"/>
    <w:rsid w:val="00290156"/>
    <w:rsid w:val="002930F1"/>
    <w:rsid w:val="002B0E65"/>
    <w:rsid w:val="002D40DE"/>
    <w:rsid w:val="002F6F6B"/>
    <w:rsid w:val="00301BEF"/>
    <w:rsid w:val="00334147"/>
    <w:rsid w:val="00344BE8"/>
    <w:rsid w:val="00361612"/>
    <w:rsid w:val="00366EC3"/>
    <w:rsid w:val="0038242D"/>
    <w:rsid w:val="003B016E"/>
    <w:rsid w:val="003D155C"/>
    <w:rsid w:val="003E5AAD"/>
    <w:rsid w:val="00426D08"/>
    <w:rsid w:val="00436BA4"/>
    <w:rsid w:val="004372D7"/>
    <w:rsid w:val="0044455A"/>
    <w:rsid w:val="005323FE"/>
    <w:rsid w:val="005360D8"/>
    <w:rsid w:val="00540328"/>
    <w:rsid w:val="0057510E"/>
    <w:rsid w:val="005850E2"/>
    <w:rsid w:val="005B2D24"/>
    <w:rsid w:val="005C3BF7"/>
    <w:rsid w:val="005E2CBF"/>
    <w:rsid w:val="00677C0A"/>
    <w:rsid w:val="006826C3"/>
    <w:rsid w:val="0069511E"/>
    <w:rsid w:val="006A66BD"/>
    <w:rsid w:val="006B5879"/>
    <w:rsid w:val="006E6D9E"/>
    <w:rsid w:val="007216C9"/>
    <w:rsid w:val="0073687F"/>
    <w:rsid w:val="00783937"/>
    <w:rsid w:val="007C33BE"/>
    <w:rsid w:val="007E06D6"/>
    <w:rsid w:val="007E50D5"/>
    <w:rsid w:val="00816E59"/>
    <w:rsid w:val="00827A80"/>
    <w:rsid w:val="008833BB"/>
    <w:rsid w:val="008936ED"/>
    <w:rsid w:val="00894F1C"/>
    <w:rsid w:val="008C7E48"/>
    <w:rsid w:val="008D1D73"/>
    <w:rsid w:val="008F59E9"/>
    <w:rsid w:val="00913943"/>
    <w:rsid w:val="009163B2"/>
    <w:rsid w:val="00936B5A"/>
    <w:rsid w:val="00976C2A"/>
    <w:rsid w:val="00993E50"/>
    <w:rsid w:val="009D1FFD"/>
    <w:rsid w:val="009F3FA2"/>
    <w:rsid w:val="009F5DC0"/>
    <w:rsid w:val="00A67185"/>
    <w:rsid w:val="00AC1B01"/>
    <w:rsid w:val="00AE4716"/>
    <w:rsid w:val="00B0395B"/>
    <w:rsid w:val="00B2252B"/>
    <w:rsid w:val="00B37606"/>
    <w:rsid w:val="00B523D3"/>
    <w:rsid w:val="00B60F3A"/>
    <w:rsid w:val="00B7212C"/>
    <w:rsid w:val="00B81A8B"/>
    <w:rsid w:val="00B92273"/>
    <w:rsid w:val="00B94E37"/>
    <w:rsid w:val="00BE1820"/>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7749B"/>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D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F3BF-0D96-4F11-A3E9-C6E694D5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2</cp:revision>
  <dcterms:created xsi:type="dcterms:W3CDTF">2024-05-15T12:07:00Z</dcterms:created>
  <dcterms:modified xsi:type="dcterms:W3CDTF">2024-05-15T12:07:00Z</dcterms:modified>
</cp:coreProperties>
</file>