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3251"/>
        <w:gridCol w:w="1417"/>
        <w:gridCol w:w="3828"/>
        <w:gridCol w:w="905"/>
        <w:gridCol w:w="5484"/>
      </w:tblGrid>
      <w:tr w:rsidR="00CD7BDF" w:rsidRPr="00812EEC" w:rsidTr="008B6BDA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CD7BDF" w:rsidRPr="00812EEC" w:rsidRDefault="00C933ED" w:rsidP="008B6B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Mühendislik-Mimarlık Fakültesi Dekanlığı</w:t>
            </w:r>
          </w:p>
        </w:tc>
      </w:tr>
      <w:tr w:rsidR="00CD7BDF" w:rsidRPr="00812EEC" w:rsidTr="008B6BDA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CD7BDF" w:rsidRDefault="00CD7BDF" w:rsidP="008B6BDA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>Öğretim Elemanları</w:t>
            </w:r>
          </w:p>
        </w:tc>
      </w:tr>
      <w:tr w:rsidR="00CD7BDF" w:rsidRPr="00812EEC" w:rsidTr="008B6BDA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CD7BDF" w:rsidRPr="00812EEC" w:rsidRDefault="00CD7BDF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251" w:type="dxa"/>
            <w:shd w:val="clear" w:color="auto" w:fill="2E74B5" w:themeFill="accent1" w:themeFillShade="BF"/>
            <w:vAlign w:val="center"/>
          </w:tcPr>
          <w:p w:rsidR="00CD7BDF" w:rsidRPr="00812EEC" w:rsidRDefault="00CD7BDF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CD7BDF" w:rsidRPr="00812EEC" w:rsidRDefault="00CD7BDF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CD7BDF" w:rsidRPr="00812EEC" w:rsidRDefault="00CD7BDF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828" w:type="dxa"/>
            <w:shd w:val="clear" w:color="auto" w:fill="2E74B5" w:themeFill="accent1" w:themeFillShade="BF"/>
            <w:vAlign w:val="center"/>
          </w:tcPr>
          <w:p w:rsidR="00CD7BDF" w:rsidRPr="00812EEC" w:rsidRDefault="00CD7BDF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CD7BDF" w:rsidRPr="00812EEC" w:rsidRDefault="00CD7BDF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CD7BDF" w:rsidRPr="00812EEC" w:rsidRDefault="00CD7BDF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CD7BDF" w:rsidRPr="00680D4B" w:rsidTr="008B6BDA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7BDF" w:rsidRPr="00680D4B" w:rsidRDefault="00AE3E9B" w:rsidP="008B6BD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D7BDF" w:rsidRPr="00680D4B">
              <w:rPr>
                <w:sz w:val="16"/>
                <w:szCs w:val="16"/>
              </w:rPr>
              <w:t>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E9B" w:rsidRDefault="00AE3E9B" w:rsidP="008B6BD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 w:rsidRPr="00AE3E9B">
              <w:rPr>
                <w:color w:val="000000"/>
                <w:sz w:val="16"/>
                <w:szCs w:val="16"/>
              </w:rPr>
              <w:t>Kaynakların verimli etkin ve ekonomik kullanılmasını sağlamak, çalışma odasının kullanılması ve korunması konusunda ilgililere yardımcı olmak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CD7BDF" w:rsidRPr="00680D4B" w:rsidRDefault="00AE3E9B" w:rsidP="008B6BDA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2.</w:t>
            </w:r>
            <w:r w:rsidRPr="00AE3E9B">
              <w:rPr>
                <w:color w:val="000000"/>
                <w:sz w:val="16"/>
                <w:szCs w:val="16"/>
              </w:rPr>
              <w:t>Ders içeriklerinin hazırlanması ve planlanması çalışmalarına katılmak, ders programlarının eksiksiz yürütülmesini sağlamak üzere hazır bulunmak</w:t>
            </w:r>
            <w:r>
              <w:rPr>
                <w:color w:val="000000"/>
                <w:sz w:val="16"/>
                <w:szCs w:val="16"/>
              </w:rPr>
              <w:t xml:space="preserve"> 3.</w:t>
            </w:r>
            <w:r w:rsidRPr="00AE3E9B">
              <w:rPr>
                <w:color w:val="000000"/>
                <w:sz w:val="16"/>
                <w:szCs w:val="16"/>
              </w:rPr>
              <w:t xml:space="preserve">Bilimsel araştırma ve yayın faaliyetleri yapmak, </w:t>
            </w:r>
            <w:r>
              <w:rPr>
                <w:color w:val="000000"/>
                <w:sz w:val="16"/>
                <w:szCs w:val="16"/>
              </w:rPr>
              <w:t>4</w:t>
            </w:r>
            <w:r w:rsidRPr="00AE3E9B">
              <w:rPr>
                <w:color w:val="000000"/>
                <w:sz w:val="16"/>
                <w:szCs w:val="16"/>
              </w:rPr>
              <w:t xml:space="preserve">. Dekanlığın ve ilgili bölüm başkanlığının öngördüğü toplantılara katılmak, faaliyetlere destek vermek,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3E9B">
              <w:rPr>
                <w:color w:val="000000"/>
                <w:sz w:val="16"/>
                <w:szCs w:val="16"/>
              </w:rPr>
              <w:t xml:space="preserve">. İlgili bölüm başkanlığınca verilen danışmanlık görev ve sorumluluklarını yerine getirmek, </w:t>
            </w:r>
            <w:r>
              <w:rPr>
                <w:color w:val="000000"/>
                <w:sz w:val="16"/>
                <w:szCs w:val="16"/>
              </w:rPr>
              <w:t>6</w:t>
            </w:r>
            <w:r w:rsidRPr="00AE3E9B">
              <w:rPr>
                <w:color w:val="000000"/>
                <w:sz w:val="16"/>
                <w:szCs w:val="16"/>
              </w:rPr>
              <w:t>. Faaliyet raporlarını istenilen zamanlarda bölüm başkanlığına sunmak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DF" w:rsidRPr="00680D4B" w:rsidRDefault="00AE3E9B" w:rsidP="008B6BDA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Elemanları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E3E9B" w:rsidRDefault="00AE3E9B" w:rsidP="008B6BDA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E3E9B">
              <w:rPr>
                <w:sz w:val="16"/>
                <w:szCs w:val="16"/>
              </w:rPr>
              <w:t>Kamu zararı, kurumsal hedeflere ulaşmada aksamalar, hak kaybı</w:t>
            </w:r>
          </w:p>
          <w:p w:rsidR="00AE3E9B" w:rsidRDefault="00AE3E9B" w:rsidP="008B6BDA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E3E9B">
              <w:rPr>
                <w:sz w:val="16"/>
                <w:szCs w:val="16"/>
              </w:rPr>
              <w:t>Akademik ve idari işlerde aksama</w:t>
            </w:r>
          </w:p>
          <w:p w:rsidR="00CD7BDF" w:rsidRPr="00680D4B" w:rsidRDefault="00AE3E9B" w:rsidP="008B6BDA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E3E9B">
              <w:rPr>
                <w:sz w:val="16"/>
                <w:szCs w:val="16"/>
              </w:rPr>
              <w:t>Eğitim öğretimin aksaması, kurumsal hedeflere ulaşmada aksaklıklar yaşanması, kurumsal temsil ve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D7BDF" w:rsidRPr="00680D4B" w:rsidRDefault="00CD7BDF" w:rsidP="008B6BD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CD7BDF" w:rsidRDefault="00AE3E9B" w:rsidP="008B6BDA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E3E9B">
              <w:rPr>
                <w:sz w:val="16"/>
                <w:szCs w:val="16"/>
              </w:rPr>
              <w:t>Bölüm öğretim üyelerinin ilgili maddeler ve gereklilikleri konusunda bilgilendirilmesi, durumun hassasiyeti bağlamında iletişim kurulması, kamu mallarının korunması için eşgüdüm sağlanması</w:t>
            </w:r>
          </w:p>
          <w:p w:rsidR="00AE3E9B" w:rsidRPr="00680D4B" w:rsidRDefault="00AE3E9B" w:rsidP="008B6BDA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E3E9B">
              <w:rPr>
                <w:sz w:val="16"/>
                <w:szCs w:val="16"/>
              </w:rPr>
              <w:t>Anabilim Dalı Başkanı, Bölüm Başkanı Dekan ve Dekan yardımcılarının vereceği akademik ve idari işleri titizlikle yerine getirir. Mazereti olması halinde bunu önceden bildirir.</w:t>
            </w:r>
          </w:p>
        </w:tc>
      </w:tr>
    </w:tbl>
    <w:p w:rsidR="00CD7BDF" w:rsidRDefault="00CD7BDF" w:rsidP="00CD7BDF"/>
    <w:p w:rsidR="00CD7BDF" w:rsidRDefault="00CD7BDF" w:rsidP="00CD7BDF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CD7BDF" w:rsidRDefault="00CD7BDF" w:rsidP="00CD7BDF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CD7BDF" w:rsidRPr="00CD022E" w:rsidTr="008B6BDA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CB7805" w:rsidRPr="00EC2DD7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CB7805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Kani Ziya GÖKALP</w:t>
            </w:r>
          </w:p>
          <w:p w:rsidR="00CD7BDF" w:rsidRPr="00EC2DD7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CD7BDF" w:rsidRPr="00EC2DD7" w:rsidRDefault="00CD7BDF" w:rsidP="008B6B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CB7805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CB7805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Ahmet UYUMAZ </w:t>
            </w:r>
          </w:p>
          <w:p w:rsidR="00CB7805" w:rsidRPr="00EC2DD7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CD7BDF" w:rsidRPr="00EC2DD7" w:rsidRDefault="00CD7BDF" w:rsidP="008B6B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B30CD" w:rsidRDefault="00BB30CD"/>
    <w:p w:rsidR="001A4EDF" w:rsidRDefault="001A4EDF" w:rsidP="00DF564D">
      <w:pPr>
        <w:spacing w:after="160" w:line="259" w:lineRule="auto"/>
      </w:pPr>
    </w:p>
    <w:p w:rsidR="00FF06D5" w:rsidRDefault="00FF06D5" w:rsidP="00DF564D">
      <w:pPr>
        <w:spacing w:after="160" w:line="259" w:lineRule="auto"/>
      </w:pPr>
      <w:bookmarkStart w:id="0" w:name="_GoBack"/>
      <w:bookmarkEnd w:id="0"/>
    </w:p>
    <w:p w:rsidR="00FF06D5" w:rsidRDefault="00FF06D5" w:rsidP="00DF564D">
      <w:pPr>
        <w:spacing w:after="160" w:line="259" w:lineRule="auto"/>
      </w:pPr>
    </w:p>
    <w:p w:rsidR="00FF06D5" w:rsidRDefault="00FF06D5" w:rsidP="00DF564D">
      <w:pPr>
        <w:spacing w:after="160" w:line="259" w:lineRule="auto"/>
      </w:pPr>
    </w:p>
    <w:p w:rsidR="00FF06D5" w:rsidRDefault="00FF06D5" w:rsidP="00DF564D">
      <w:pPr>
        <w:spacing w:after="160" w:line="259" w:lineRule="auto"/>
      </w:pPr>
    </w:p>
    <w:sectPr w:rsidR="00FF06D5" w:rsidSect="00E42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418" w:bottom="45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9C" w:rsidRDefault="00AF029C" w:rsidP="00770A33">
      <w:r>
        <w:separator/>
      </w:r>
    </w:p>
  </w:endnote>
  <w:endnote w:type="continuationSeparator" w:id="0">
    <w:p w:rsidR="00AF029C" w:rsidRDefault="00AF029C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9C" w:rsidRDefault="00AF029C" w:rsidP="00770A33">
      <w:r>
        <w:separator/>
      </w:r>
    </w:p>
  </w:footnote>
  <w:footnote w:type="continuationSeparator" w:id="0">
    <w:p w:rsidR="00AF029C" w:rsidRDefault="00AF029C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DA" w:rsidRDefault="008B6BDA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0"/>
      <w:gridCol w:w="7157"/>
      <w:gridCol w:w="1842"/>
      <w:gridCol w:w="1985"/>
    </w:tblGrid>
    <w:tr w:rsidR="008B6BD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8B6BDA" w:rsidRPr="005E1A73" w:rsidRDefault="008B6BD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8B6BDA" w:rsidRPr="00F52092" w:rsidRDefault="008B6BD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8B6BDA" w:rsidRPr="005E1A73" w:rsidRDefault="004E406E" w:rsidP="004E406E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07</w:t>
          </w:r>
          <w:r w:rsidR="008B6BDA">
            <w:rPr>
              <w:rFonts w:eastAsia="Calibri"/>
              <w:sz w:val="18"/>
              <w:szCs w:val="18"/>
            </w:rPr>
            <w:t>/0</w:t>
          </w:r>
          <w:r>
            <w:rPr>
              <w:rFonts w:eastAsia="Calibri"/>
              <w:sz w:val="18"/>
              <w:szCs w:val="18"/>
            </w:rPr>
            <w:t>5</w:t>
          </w:r>
          <w:r w:rsidR="008B6BDA">
            <w:rPr>
              <w:rFonts w:eastAsia="Calibri"/>
              <w:sz w:val="18"/>
              <w:szCs w:val="18"/>
            </w:rPr>
            <w:t>/</w:t>
          </w:r>
          <w:r w:rsidR="008B6BD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8B6BDA" w:rsidRPr="005E1A73" w:rsidTr="00812EEC">
      <w:trPr>
        <w:trHeight w:val="392"/>
        <w:jc w:val="center"/>
      </w:trPr>
      <w:tc>
        <w:tcPr>
          <w:tcW w:w="1237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8B6BDA" w:rsidRPr="005E1A73" w:rsidRDefault="008B6BDA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8B6BDA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8B6BDA" w:rsidRPr="005E1A73" w:rsidRDefault="008B6BDA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8B6BDA" w:rsidRPr="005E1A73" w:rsidRDefault="008B6BDA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8B6BDA" w:rsidRDefault="008B6BDA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9179D"/>
    <w:rsid w:val="00091AAC"/>
    <w:rsid w:val="00091F88"/>
    <w:rsid w:val="000A2B80"/>
    <w:rsid w:val="000A4B57"/>
    <w:rsid w:val="000B0763"/>
    <w:rsid w:val="000C4253"/>
    <w:rsid w:val="000D7DED"/>
    <w:rsid w:val="000E5BE7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3257"/>
    <w:rsid w:val="001516EB"/>
    <w:rsid w:val="001530B3"/>
    <w:rsid w:val="0015561D"/>
    <w:rsid w:val="00160AB7"/>
    <w:rsid w:val="00160C12"/>
    <w:rsid w:val="001618FB"/>
    <w:rsid w:val="00164C9E"/>
    <w:rsid w:val="00167CC3"/>
    <w:rsid w:val="00174A9E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671F3"/>
    <w:rsid w:val="00284CFC"/>
    <w:rsid w:val="002A14A8"/>
    <w:rsid w:val="002B1EA5"/>
    <w:rsid w:val="002B4056"/>
    <w:rsid w:val="002B670A"/>
    <w:rsid w:val="002C41A1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0F23"/>
    <w:rsid w:val="003819D6"/>
    <w:rsid w:val="00381A73"/>
    <w:rsid w:val="00383668"/>
    <w:rsid w:val="00393EED"/>
    <w:rsid w:val="00397EB0"/>
    <w:rsid w:val="003A0333"/>
    <w:rsid w:val="003A1C2A"/>
    <w:rsid w:val="003A4215"/>
    <w:rsid w:val="003A4A46"/>
    <w:rsid w:val="003A7E3C"/>
    <w:rsid w:val="003B2411"/>
    <w:rsid w:val="003D4EF6"/>
    <w:rsid w:val="003D7DD5"/>
    <w:rsid w:val="003E06BD"/>
    <w:rsid w:val="003F1AF1"/>
    <w:rsid w:val="003F3DCB"/>
    <w:rsid w:val="003F50E6"/>
    <w:rsid w:val="004019DA"/>
    <w:rsid w:val="00406110"/>
    <w:rsid w:val="0041088B"/>
    <w:rsid w:val="0041095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4E406E"/>
    <w:rsid w:val="00504F9B"/>
    <w:rsid w:val="00505652"/>
    <w:rsid w:val="005136E2"/>
    <w:rsid w:val="00526102"/>
    <w:rsid w:val="005304FB"/>
    <w:rsid w:val="00532058"/>
    <w:rsid w:val="00537BDD"/>
    <w:rsid w:val="00540EF7"/>
    <w:rsid w:val="00542059"/>
    <w:rsid w:val="005460A6"/>
    <w:rsid w:val="00550E65"/>
    <w:rsid w:val="00552852"/>
    <w:rsid w:val="00552CEF"/>
    <w:rsid w:val="00566F84"/>
    <w:rsid w:val="0057422C"/>
    <w:rsid w:val="00585964"/>
    <w:rsid w:val="00585CEF"/>
    <w:rsid w:val="005915C7"/>
    <w:rsid w:val="00591E38"/>
    <w:rsid w:val="00592175"/>
    <w:rsid w:val="005A650B"/>
    <w:rsid w:val="005B5B87"/>
    <w:rsid w:val="005C1D61"/>
    <w:rsid w:val="005C6732"/>
    <w:rsid w:val="005E45F0"/>
    <w:rsid w:val="005F5979"/>
    <w:rsid w:val="006021BB"/>
    <w:rsid w:val="00616521"/>
    <w:rsid w:val="00626544"/>
    <w:rsid w:val="00626EEE"/>
    <w:rsid w:val="0062781F"/>
    <w:rsid w:val="0063398F"/>
    <w:rsid w:val="006362BD"/>
    <w:rsid w:val="0064163B"/>
    <w:rsid w:val="006565DF"/>
    <w:rsid w:val="00672445"/>
    <w:rsid w:val="00675847"/>
    <w:rsid w:val="00680D4B"/>
    <w:rsid w:val="0068100D"/>
    <w:rsid w:val="006827E9"/>
    <w:rsid w:val="00685B10"/>
    <w:rsid w:val="006C1591"/>
    <w:rsid w:val="006C40CE"/>
    <w:rsid w:val="006C5976"/>
    <w:rsid w:val="006D5C95"/>
    <w:rsid w:val="006E1F2A"/>
    <w:rsid w:val="006E1FF3"/>
    <w:rsid w:val="006E41BE"/>
    <w:rsid w:val="006E58DB"/>
    <w:rsid w:val="006E73BF"/>
    <w:rsid w:val="006F4CF0"/>
    <w:rsid w:val="00702BC5"/>
    <w:rsid w:val="007151E0"/>
    <w:rsid w:val="0071615D"/>
    <w:rsid w:val="0072196D"/>
    <w:rsid w:val="007246BD"/>
    <w:rsid w:val="00731006"/>
    <w:rsid w:val="00761FAE"/>
    <w:rsid w:val="00763353"/>
    <w:rsid w:val="007679CC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4A6"/>
    <w:rsid w:val="00825F8E"/>
    <w:rsid w:val="00835A25"/>
    <w:rsid w:val="00842601"/>
    <w:rsid w:val="00847753"/>
    <w:rsid w:val="008534E2"/>
    <w:rsid w:val="008574AF"/>
    <w:rsid w:val="00862C22"/>
    <w:rsid w:val="0086340B"/>
    <w:rsid w:val="00864CA0"/>
    <w:rsid w:val="00870E10"/>
    <w:rsid w:val="008715E0"/>
    <w:rsid w:val="00875B3B"/>
    <w:rsid w:val="008B6BDA"/>
    <w:rsid w:val="008B7E91"/>
    <w:rsid w:val="008C2DD8"/>
    <w:rsid w:val="008C3A83"/>
    <w:rsid w:val="008C4BCB"/>
    <w:rsid w:val="008C78F5"/>
    <w:rsid w:val="008D0F43"/>
    <w:rsid w:val="008E2F7A"/>
    <w:rsid w:val="008F0EF0"/>
    <w:rsid w:val="008F185E"/>
    <w:rsid w:val="00904711"/>
    <w:rsid w:val="00905E1E"/>
    <w:rsid w:val="00906670"/>
    <w:rsid w:val="00915B24"/>
    <w:rsid w:val="00932388"/>
    <w:rsid w:val="009523CA"/>
    <w:rsid w:val="00960C2F"/>
    <w:rsid w:val="00973F1D"/>
    <w:rsid w:val="00977B6C"/>
    <w:rsid w:val="00983BA0"/>
    <w:rsid w:val="00987118"/>
    <w:rsid w:val="009920F7"/>
    <w:rsid w:val="0099263B"/>
    <w:rsid w:val="009965C2"/>
    <w:rsid w:val="00996AFF"/>
    <w:rsid w:val="009A5B81"/>
    <w:rsid w:val="009A5FC1"/>
    <w:rsid w:val="009C2162"/>
    <w:rsid w:val="009D6B71"/>
    <w:rsid w:val="009E6D69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0943"/>
    <w:rsid w:val="00A35AC2"/>
    <w:rsid w:val="00A35F8E"/>
    <w:rsid w:val="00A361B9"/>
    <w:rsid w:val="00A42B54"/>
    <w:rsid w:val="00A42C97"/>
    <w:rsid w:val="00A56DCE"/>
    <w:rsid w:val="00A638C1"/>
    <w:rsid w:val="00A74EF7"/>
    <w:rsid w:val="00A752AF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2FBB"/>
    <w:rsid w:val="00AD6A24"/>
    <w:rsid w:val="00AE3E9B"/>
    <w:rsid w:val="00AE7334"/>
    <w:rsid w:val="00AF029C"/>
    <w:rsid w:val="00AF6C73"/>
    <w:rsid w:val="00B03C57"/>
    <w:rsid w:val="00B21BB4"/>
    <w:rsid w:val="00B31526"/>
    <w:rsid w:val="00B33A13"/>
    <w:rsid w:val="00B507CB"/>
    <w:rsid w:val="00B56924"/>
    <w:rsid w:val="00B812E1"/>
    <w:rsid w:val="00B941C8"/>
    <w:rsid w:val="00BA7AC0"/>
    <w:rsid w:val="00BB08FA"/>
    <w:rsid w:val="00BB30CD"/>
    <w:rsid w:val="00BB78E0"/>
    <w:rsid w:val="00BC79CD"/>
    <w:rsid w:val="00BD54EF"/>
    <w:rsid w:val="00BE5075"/>
    <w:rsid w:val="00BE742E"/>
    <w:rsid w:val="00BF0809"/>
    <w:rsid w:val="00C06582"/>
    <w:rsid w:val="00C31F2C"/>
    <w:rsid w:val="00C40C2F"/>
    <w:rsid w:val="00C40E0C"/>
    <w:rsid w:val="00C501F5"/>
    <w:rsid w:val="00C56955"/>
    <w:rsid w:val="00C57906"/>
    <w:rsid w:val="00C66E9F"/>
    <w:rsid w:val="00C70162"/>
    <w:rsid w:val="00C71795"/>
    <w:rsid w:val="00C77E52"/>
    <w:rsid w:val="00C80823"/>
    <w:rsid w:val="00C81904"/>
    <w:rsid w:val="00C933ED"/>
    <w:rsid w:val="00C93911"/>
    <w:rsid w:val="00CA7869"/>
    <w:rsid w:val="00CB7115"/>
    <w:rsid w:val="00CB7805"/>
    <w:rsid w:val="00CD022E"/>
    <w:rsid w:val="00CD0792"/>
    <w:rsid w:val="00CD5147"/>
    <w:rsid w:val="00CD7BDF"/>
    <w:rsid w:val="00D01909"/>
    <w:rsid w:val="00D0399D"/>
    <w:rsid w:val="00D051AC"/>
    <w:rsid w:val="00D06A70"/>
    <w:rsid w:val="00D16D17"/>
    <w:rsid w:val="00D2661C"/>
    <w:rsid w:val="00D46248"/>
    <w:rsid w:val="00D50D9E"/>
    <w:rsid w:val="00D5100A"/>
    <w:rsid w:val="00D6706C"/>
    <w:rsid w:val="00D67D4B"/>
    <w:rsid w:val="00D721A1"/>
    <w:rsid w:val="00D760C4"/>
    <w:rsid w:val="00D77A37"/>
    <w:rsid w:val="00DA084D"/>
    <w:rsid w:val="00DB3493"/>
    <w:rsid w:val="00DC511C"/>
    <w:rsid w:val="00DD29AB"/>
    <w:rsid w:val="00DD29DE"/>
    <w:rsid w:val="00DD6042"/>
    <w:rsid w:val="00DD7486"/>
    <w:rsid w:val="00DE5422"/>
    <w:rsid w:val="00DE60C1"/>
    <w:rsid w:val="00DF2DE6"/>
    <w:rsid w:val="00DF4697"/>
    <w:rsid w:val="00DF564D"/>
    <w:rsid w:val="00DF6AF6"/>
    <w:rsid w:val="00DF7754"/>
    <w:rsid w:val="00E0014C"/>
    <w:rsid w:val="00E1490D"/>
    <w:rsid w:val="00E165B2"/>
    <w:rsid w:val="00E1742D"/>
    <w:rsid w:val="00E177EE"/>
    <w:rsid w:val="00E22523"/>
    <w:rsid w:val="00E23613"/>
    <w:rsid w:val="00E3702F"/>
    <w:rsid w:val="00E40B11"/>
    <w:rsid w:val="00E427D2"/>
    <w:rsid w:val="00E466CF"/>
    <w:rsid w:val="00E502F5"/>
    <w:rsid w:val="00E525C5"/>
    <w:rsid w:val="00E53010"/>
    <w:rsid w:val="00E547AB"/>
    <w:rsid w:val="00E56588"/>
    <w:rsid w:val="00E624C2"/>
    <w:rsid w:val="00E7728B"/>
    <w:rsid w:val="00E807E0"/>
    <w:rsid w:val="00E83D88"/>
    <w:rsid w:val="00E87E7F"/>
    <w:rsid w:val="00EA1029"/>
    <w:rsid w:val="00EB02AB"/>
    <w:rsid w:val="00EB1D75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27D39"/>
    <w:rsid w:val="00F31354"/>
    <w:rsid w:val="00F343FF"/>
    <w:rsid w:val="00F40D9C"/>
    <w:rsid w:val="00F52092"/>
    <w:rsid w:val="00F672DE"/>
    <w:rsid w:val="00F85B92"/>
    <w:rsid w:val="00F86171"/>
    <w:rsid w:val="00FA1D3A"/>
    <w:rsid w:val="00FA1F4C"/>
    <w:rsid w:val="00FA4813"/>
    <w:rsid w:val="00FA48B6"/>
    <w:rsid w:val="00FB1DAC"/>
    <w:rsid w:val="00FB4AFF"/>
    <w:rsid w:val="00FD5BE9"/>
    <w:rsid w:val="00FE22A2"/>
    <w:rsid w:val="00FE7FD6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B228-8076-4C05-90FD-C075D608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ziya</cp:lastModifiedBy>
  <cp:revision>2</cp:revision>
  <cp:lastPrinted>2025-02-20T12:11:00Z</cp:lastPrinted>
  <dcterms:created xsi:type="dcterms:W3CDTF">2025-05-21T12:39:00Z</dcterms:created>
  <dcterms:modified xsi:type="dcterms:W3CDTF">2025-05-21T12:39:00Z</dcterms:modified>
</cp:coreProperties>
</file>