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A51FD">
        <w:tblPrEx>
          <w:tblCellMar>
            <w:top w:w="0" w:type="dxa"/>
            <w:bottom w:w="0" w:type="dxa"/>
          </w:tblCellMar>
        </w:tblPrEx>
        <w:tc>
          <w:tcPr>
            <w:tcW w:w="9360" w:type="dxa"/>
            <w:tcBorders>
              <w:bottom w:val="single" w:sz="12" w:space="0" w:color="1F4E78"/>
            </w:tcBorders>
            <w:tcMar>
              <w:top w:w="40" w:type="dxa"/>
              <w:left w:w="0" w:type="dxa"/>
              <w:bottom w:w="120" w:type="dxa"/>
              <w:right w:w="0" w:type="dxa"/>
            </w:tcMar>
          </w:tcPr>
          <w:p w:rsidR="002A51FD" w:rsidRDefault="00A1614A">
            <w:pPr>
              <w:spacing w:after="20"/>
              <w:jc w:val="center"/>
            </w:pPr>
            <w:r>
              <w:rPr>
                <w:b/>
                <w:bCs/>
              </w:rPr>
              <w:t>T.C.</w:t>
            </w:r>
          </w:p>
          <w:p w:rsidR="002A51FD" w:rsidRDefault="00A1614A">
            <w:pPr>
              <w:spacing w:after="20"/>
              <w:jc w:val="center"/>
            </w:pPr>
            <w:r>
              <w:rPr>
                <w:b/>
                <w:bCs/>
                <w:color w:val="1F4E78"/>
                <w:sz w:val="24"/>
                <w:szCs w:val="24"/>
              </w:rPr>
              <w:t>BURDUR MEHMET AKİF ERSOY ÜNİVERSİTESİ</w:t>
            </w:r>
          </w:p>
          <w:p w:rsidR="002A51FD" w:rsidRDefault="00A1614A">
            <w:pPr>
              <w:jc w:val="center"/>
            </w:pPr>
            <w:r w:rsidRPr="00EB4476">
              <w:rPr>
                <w:b/>
                <w:bCs/>
                <w:color w:val="1F4E78"/>
                <w:sz w:val="24"/>
                <w:szCs w:val="24"/>
              </w:rPr>
              <w:t>S</w:t>
            </w:r>
            <w:r w:rsidR="00EB4476" w:rsidRPr="00EB4476">
              <w:rPr>
                <w:b/>
                <w:bCs/>
                <w:color w:val="1F4E78"/>
                <w:sz w:val="24"/>
                <w:szCs w:val="24"/>
              </w:rPr>
              <w:t xml:space="preserve">AĞLIK </w:t>
            </w:r>
            <w:r w:rsidRPr="00EB4476">
              <w:rPr>
                <w:b/>
                <w:bCs/>
                <w:color w:val="1F4E78"/>
                <w:sz w:val="24"/>
                <w:szCs w:val="24"/>
              </w:rPr>
              <w:t>BİLİMLER</w:t>
            </w:r>
            <w:r w:rsidR="00EB4476" w:rsidRPr="00EB4476">
              <w:rPr>
                <w:b/>
                <w:bCs/>
                <w:color w:val="1F4E78"/>
                <w:sz w:val="24"/>
                <w:szCs w:val="24"/>
              </w:rPr>
              <w:t>İ</w:t>
            </w:r>
            <w:r w:rsidRPr="00EB4476">
              <w:rPr>
                <w:b/>
                <w:bCs/>
                <w:color w:val="1F4E78"/>
                <w:sz w:val="24"/>
                <w:szCs w:val="24"/>
              </w:rPr>
              <w:t xml:space="preserve"> ENSTİTÜSÜ</w:t>
            </w:r>
          </w:p>
        </w:tc>
      </w:tr>
    </w:tbl>
    <w:p w:rsidR="002A51FD" w:rsidRDefault="00A1614A">
      <w:pPr>
        <w:spacing w:before="60" w:after="60"/>
        <w:jc w:val="center"/>
      </w:pPr>
      <w:r>
        <w:rPr>
          <w:b/>
          <w:bCs/>
          <w:color w:val="1F4E78"/>
          <w:sz w:val="30"/>
          <w:szCs w:val="30"/>
        </w:rPr>
        <w:t>KALİTE POLİTİKASI</w:t>
      </w:r>
    </w:p>
    <w:p w:rsidR="002A51FD" w:rsidRDefault="00A1614A">
      <w:pPr>
        <w:spacing w:after="160"/>
        <w:jc w:val="center"/>
      </w:pPr>
      <w:r>
        <w:rPr>
          <w:color w:val="666666"/>
          <w:sz w:val="18"/>
          <w:szCs w:val="18"/>
        </w:rPr>
        <w:t>Misyon · Vizyon · Kalite Politikası</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2A51FD">
        <w:tblPrEx>
          <w:tblCellMar>
            <w:top w:w="0" w:type="dxa"/>
            <w:bottom w:w="0" w:type="dxa"/>
          </w:tblCellMar>
        </w:tblPrEx>
        <w:tc>
          <w:tcPr>
            <w:tcW w:w="2340" w:type="dxa"/>
            <w:tcBorders>
              <w:top w:val="single" w:sz="4" w:space="0" w:color="B0B0B0"/>
              <w:left w:val="single" w:sz="4" w:space="0" w:color="B0B0B0"/>
              <w:bottom w:val="single" w:sz="4" w:space="0" w:color="B0B0B0"/>
              <w:right w:val="single" w:sz="4" w:space="0" w:color="B0B0B0"/>
            </w:tcBorders>
            <w:shd w:val="clear" w:color="auto" w:fill="DEEBF7"/>
            <w:tcMar>
              <w:top w:w="100" w:type="dxa"/>
              <w:left w:w="150" w:type="dxa"/>
              <w:bottom w:w="100" w:type="dxa"/>
              <w:right w:w="150" w:type="dxa"/>
            </w:tcMar>
          </w:tcPr>
          <w:p w:rsidR="002A51FD" w:rsidRDefault="00A1614A">
            <w:r>
              <w:rPr>
                <w:b/>
                <w:bCs/>
                <w:color w:val="1F4E78"/>
                <w:sz w:val="18"/>
                <w:szCs w:val="18"/>
              </w:rPr>
              <w:t>Doküman Adı</w:t>
            </w:r>
          </w:p>
        </w:tc>
        <w:tc>
          <w:tcPr>
            <w:tcW w:w="2340" w:type="dxa"/>
            <w:tcBorders>
              <w:top w:val="single" w:sz="4" w:space="0" w:color="B0B0B0"/>
              <w:left w:val="single" w:sz="4" w:space="0" w:color="B0B0B0"/>
              <w:bottom w:val="single" w:sz="4" w:space="0" w:color="B0B0B0"/>
              <w:right w:val="single" w:sz="4" w:space="0" w:color="B0B0B0"/>
            </w:tcBorders>
            <w:tcMar>
              <w:top w:w="100" w:type="dxa"/>
              <w:left w:w="150" w:type="dxa"/>
              <w:bottom w:w="100" w:type="dxa"/>
              <w:right w:w="150" w:type="dxa"/>
            </w:tcMar>
          </w:tcPr>
          <w:p w:rsidR="002A51FD" w:rsidRDefault="00A1614A">
            <w:r>
              <w:rPr>
                <w:sz w:val="18"/>
                <w:szCs w:val="18"/>
              </w:rPr>
              <w:t>Kalite Politikası</w:t>
            </w:r>
          </w:p>
        </w:tc>
        <w:tc>
          <w:tcPr>
            <w:tcW w:w="2340" w:type="dxa"/>
            <w:tcBorders>
              <w:top w:val="single" w:sz="4" w:space="0" w:color="B0B0B0"/>
              <w:left w:val="single" w:sz="4" w:space="0" w:color="B0B0B0"/>
              <w:bottom w:val="single" w:sz="4" w:space="0" w:color="B0B0B0"/>
              <w:right w:val="single" w:sz="4" w:space="0" w:color="B0B0B0"/>
            </w:tcBorders>
            <w:shd w:val="clear" w:color="auto" w:fill="DEEBF7"/>
            <w:tcMar>
              <w:top w:w="100" w:type="dxa"/>
              <w:left w:w="150" w:type="dxa"/>
              <w:bottom w:w="100" w:type="dxa"/>
              <w:right w:w="150" w:type="dxa"/>
            </w:tcMar>
          </w:tcPr>
          <w:p w:rsidR="002A51FD" w:rsidRDefault="00A1614A">
            <w:r>
              <w:rPr>
                <w:b/>
                <w:bCs/>
                <w:color w:val="1F4E78"/>
                <w:sz w:val="18"/>
                <w:szCs w:val="18"/>
              </w:rPr>
              <w:t>Doküman Kodu</w:t>
            </w:r>
          </w:p>
        </w:tc>
        <w:tc>
          <w:tcPr>
            <w:tcW w:w="2340" w:type="dxa"/>
            <w:tcBorders>
              <w:top w:val="single" w:sz="4" w:space="0" w:color="B0B0B0"/>
              <w:left w:val="single" w:sz="4" w:space="0" w:color="B0B0B0"/>
              <w:bottom w:val="single" w:sz="4" w:space="0" w:color="B0B0B0"/>
              <w:right w:val="single" w:sz="4" w:space="0" w:color="B0B0B0"/>
            </w:tcBorders>
            <w:tcMar>
              <w:top w:w="100" w:type="dxa"/>
              <w:left w:w="150" w:type="dxa"/>
              <w:bottom w:w="100" w:type="dxa"/>
              <w:right w:w="150" w:type="dxa"/>
            </w:tcMar>
          </w:tcPr>
          <w:p w:rsidR="002A51FD" w:rsidRDefault="00A1614A">
            <w:r>
              <w:rPr>
                <w:sz w:val="18"/>
                <w:szCs w:val="18"/>
              </w:rPr>
              <w:t>KP-01</w:t>
            </w:r>
          </w:p>
        </w:tc>
      </w:tr>
      <w:tr w:rsidR="002A51FD">
        <w:tblPrEx>
          <w:tblCellMar>
            <w:top w:w="0" w:type="dxa"/>
            <w:bottom w:w="0" w:type="dxa"/>
          </w:tblCellMar>
        </w:tblPrEx>
        <w:tc>
          <w:tcPr>
            <w:tcW w:w="2340" w:type="dxa"/>
            <w:tcBorders>
              <w:top w:val="single" w:sz="4" w:space="0" w:color="B0B0B0"/>
              <w:left w:val="single" w:sz="4" w:space="0" w:color="B0B0B0"/>
              <w:bottom w:val="single" w:sz="4" w:space="0" w:color="B0B0B0"/>
              <w:right w:val="single" w:sz="4" w:space="0" w:color="B0B0B0"/>
            </w:tcBorders>
            <w:shd w:val="clear" w:color="auto" w:fill="DEEBF7"/>
            <w:tcMar>
              <w:top w:w="100" w:type="dxa"/>
              <w:left w:w="150" w:type="dxa"/>
              <w:bottom w:w="100" w:type="dxa"/>
              <w:right w:w="150" w:type="dxa"/>
            </w:tcMar>
          </w:tcPr>
          <w:p w:rsidR="002A51FD" w:rsidRDefault="00A1614A">
            <w:r>
              <w:rPr>
                <w:b/>
                <w:bCs/>
                <w:color w:val="1F4E78"/>
                <w:sz w:val="18"/>
                <w:szCs w:val="18"/>
              </w:rPr>
              <w:t>Yayın Tarihi</w:t>
            </w:r>
          </w:p>
        </w:tc>
        <w:tc>
          <w:tcPr>
            <w:tcW w:w="2340" w:type="dxa"/>
            <w:tcBorders>
              <w:top w:val="single" w:sz="4" w:space="0" w:color="B0B0B0"/>
              <w:left w:val="single" w:sz="4" w:space="0" w:color="B0B0B0"/>
              <w:bottom w:val="single" w:sz="4" w:space="0" w:color="B0B0B0"/>
              <w:right w:val="single" w:sz="4" w:space="0" w:color="B0B0B0"/>
            </w:tcBorders>
            <w:tcMar>
              <w:top w:w="100" w:type="dxa"/>
              <w:left w:w="150" w:type="dxa"/>
              <w:bottom w:w="100" w:type="dxa"/>
              <w:right w:w="150" w:type="dxa"/>
            </w:tcMar>
          </w:tcPr>
          <w:p w:rsidR="002A51FD" w:rsidRDefault="00A1614A">
            <w:r>
              <w:rPr>
                <w:sz w:val="18"/>
                <w:szCs w:val="18"/>
              </w:rPr>
              <w:t>18.06.2026</w:t>
            </w:r>
          </w:p>
        </w:tc>
        <w:tc>
          <w:tcPr>
            <w:tcW w:w="2340" w:type="dxa"/>
            <w:tcBorders>
              <w:top w:val="single" w:sz="4" w:space="0" w:color="B0B0B0"/>
              <w:left w:val="single" w:sz="4" w:space="0" w:color="B0B0B0"/>
              <w:bottom w:val="single" w:sz="4" w:space="0" w:color="B0B0B0"/>
              <w:right w:val="single" w:sz="4" w:space="0" w:color="B0B0B0"/>
            </w:tcBorders>
            <w:shd w:val="clear" w:color="auto" w:fill="DEEBF7"/>
            <w:tcMar>
              <w:top w:w="100" w:type="dxa"/>
              <w:left w:w="150" w:type="dxa"/>
              <w:bottom w:w="100" w:type="dxa"/>
              <w:right w:w="150" w:type="dxa"/>
            </w:tcMar>
          </w:tcPr>
          <w:p w:rsidR="002A51FD" w:rsidRDefault="00A1614A">
            <w:r>
              <w:rPr>
                <w:b/>
                <w:bCs/>
                <w:color w:val="1F4E78"/>
                <w:sz w:val="18"/>
                <w:szCs w:val="18"/>
              </w:rPr>
              <w:t>Revizyon No</w:t>
            </w:r>
          </w:p>
        </w:tc>
        <w:tc>
          <w:tcPr>
            <w:tcW w:w="2340" w:type="dxa"/>
            <w:tcBorders>
              <w:top w:val="single" w:sz="4" w:space="0" w:color="B0B0B0"/>
              <w:left w:val="single" w:sz="4" w:space="0" w:color="B0B0B0"/>
              <w:bottom w:val="single" w:sz="4" w:space="0" w:color="B0B0B0"/>
              <w:right w:val="single" w:sz="4" w:space="0" w:color="B0B0B0"/>
            </w:tcBorders>
            <w:tcMar>
              <w:top w:w="100" w:type="dxa"/>
              <w:left w:w="150" w:type="dxa"/>
              <w:bottom w:w="100" w:type="dxa"/>
              <w:right w:w="150" w:type="dxa"/>
            </w:tcMar>
          </w:tcPr>
          <w:p w:rsidR="002A51FD" w:rsidRDefault="00A1614A">
            <w:r>
              <w:rPr>
                <w:sz w:val="18"/>
                <w:szCs w:val="18"/>
              </w:rPr>
              <w:t>00</w:t>
            </w:r>
          </w:p>
        </w:tc>
      </w:tr>
    </w:tbl>
    <w:p w:rsidR="002A51FD" w:rsidRDefault="002A51FD">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A51FD">
        <w:tblPrEx>
          <w:tblCellMar>
            <w:top w:w="0" w:type="dxa"/>
            <w:bottom w:w="0" w:type="dxa"/>
          </w:tblCellMar>
        </w:tblPrEx>
        <w:tc>
          <w:tcPr>
            <w:tcW w:w="9360" w:type="dxa"/>
            <w:tcBorders>
              <w:top w:val="single" w:sz="4" w:space="0" w:color="1F4E78"/>
              <w:left w:val="single" w:sz="4" w:space="0" w:color="1F4E78"/>
              <w:bottom w:val="single" w:sz="4" w:space="0" w:color="1F4E78"/>
              <w:right w:val="single" w:sz="4" w:space="0" w:color="1F4E78"/>
            </w:tcBorders>
            <w:shd w:val="clear" w:color="auto" w:fill="1F4E78"/>
            <w:tcMar>
              <w:top w:w="110" w:type="dxa"/>
              <w:left w:w="200" w:type="dxa"/>
              <w:bottom w:w="110" w:type="dxa"/>
              <w:right w:w="200" w:type="dxa"/>
            </w:tcMar>
          </w:tcPr>
          <w:p w:rsidR="002A51FD" w:rsidRDefault="00A1614A">
            <w:r>
              <w:rPr>
                <w:b/>
                <w:bCs/>
                <w:color w:val="FFFFFF"/>
                <w:sz w:val="24"/>
                <w:szCs w:val="24"/>
              </w:rPr>
              <w:t>MİSYON</w:t>
            </w:r>
          </w:p>
        </w:tc>
      </w:tr>
    </w:tbl>
    <w:p w:rsidR="002A51FD" w:rsidRDefault="002A51FD">
      <w:pPr>
        <w:spacing w:after="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A51FD">
        <w:tblPrEx>
          <w:tblCellMar>
            <w:top w:w="0" w:type="dxa"/>
            <w:bottom w:w="0" w:type="dxa"/>
          </w:tblCellMar>
        </w:tblPrEx>
        <w:tc>
          <w:tcPr>
            <w:tcW w:w="9360" w:type="dxa"/>
            <w:tcBorders>
              <w:left w:val="single" w:sz="16" w:space="0" w:color="2E7D7B"/>
              <w:bottom w:val="single" w:sz="4" w:space="0" w:color="B0B0B0"/>
              <w:right w:val="single" w:sz="4" w:space="0" w:color="B0B0B0"/>
            </w:tcBorders>
            <w:tcMar>
              <w:top w:w="160" w:type="dxa"/>
              <w:left w:w="240" w:type="dxa"/>
              <w:bottom w:w="160" w:type="dxa"/>
              <w:right w:w="220" w:type="dxa"/>
            </w:tcMar>
          </w:tcPr>
          <w:p w:rsidR="002A51FD" w:rsidRDefault="00EB4476">
            <w:pPr>
              <w:spacing w:line="300" w:lineRule="auto"/>
              <w:jc w:val="both"/>
            </w:pPr>
            <w:r>
              <w:rPr>
                <w:color w:val="475569"/>
                <w:shd w:val="clear" w:color="auto" w:fill="F8FAFC"/>
              </w:rPr>
              <w:t>Lisansüstü eğitimde bağımsız olarak araştırma yapabilen ve akademik düşünceyi hayat felsefesi haline getirmiş Cumhuriyetin temel niteliklerine ve Atatürk İlkelerine bağlı, dürüst, erdemli, yaratıcı, yenilikçi ve evrensel bilime katkı yapabilen, mesleğinin etik kurallarına duyarlı çağdaş bilim insanları yetiştirmektir. Bunun için öğrencilerin potansiyellerini ortaya koymalarına fırsat verecek bir çalışma ve araştırma ortamı sağlamaktır.</w:t>
            </w:r>
          </w:p>
        </w:tc>
      </w:tr>
    </w:tbl>
    <w:p w:rsidR="002A51FD" w:rsidRDefault="002A51FD">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A51FD">
        <w:tblPrEx>
          <w:tblCellMar>
            <w:top w:w="0" w:type="dxa"/>
            <w:bottom w:w="0" w:type="dxa"/>
          </w:tblCellMar>
        </w:tblPrEx>
        <w:tc>
          <w:tcPr>
            <w:tcW w:w="9360" w:type="dxa"/>
            <w:tcBorders>
              <w:top w:val="single" w:sz="4" w:space="0" w:color="1F4E78"/>
              <w:left w:val="single" w:sz="4" w:space="0" w:color="1F4E78"/>
              <w:bottom w:val="single" w:sz="4" w:space="0" w:color="1F4E78"/>
              <w:right w:val="single" w:sz="4" w:space="0" w:color="1F4E78"/>
            </w:tcBorders>
            <w:shd w:val="clear" w:color="auto" w:fill="1F4E78"/>
            <w:tcMar>
              <w:top w:w="110" w:type="dxa"/>
              <w:left w:w="200" w:type="dxa"/>
              <w:bottom w:w="110" w:type="dxa"/>
              <w:right w:w="200" w:type="dxa"/>
            </w:tcMar>
          </w:tcPr>
          <w:p w:rsidR="002A51FD" w:rsidRDefault="00A1614A">
            <w:r>
              <w:rPr>
                <w:b/>
                <w:bCs/>
                <w:color w:val="FFFFFF"/>
                <w:sz w:val="24"/>
                <w:szCs w:val="24"/>
              </w:rPr>
              <w:t>VİZYON</w:t>
            </w:r>
          </w:p>
        </w:tc>
      </w:tr>
    </w:tbl>
    <w:p w:rsidR="002A51FD" w:rsidRDefault="002A51FD">
      <w:pPr>
        <w:spacing w:after="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A51FD">
        <w:tblPrEx>
          <w:tblCellMar>
            <w:top w:w="0" w:type="dxa"/>
            <w:bottom w:w="0" w:type="dxa"/>
          </w:tblCellMar>
        </w:tblPrEx>
        <w:tc>
          <w:tcPr>
            <w:tcW w:w="9360" w:type="dxa"/>
            <w:tcBorders>
              <w:left w:val="single" w:sz="16" w:space="0" w:color="2E7D7B"/>
              <w:bottom w:val="single" w:sz="4" w:space="0" w:color="B0B0B0"/>
              <w:right w:val="single" w:sz="4" w:space="0" w:color="B0B0B0"/>
            </w:tcBorders>
            <w:tcMar>
              <w:top w:w="160" w:type="dxa"/>
              <w:left w:w="240" w:type="dxa"/>
              <w:bottom w:w="160" w:type="dxa"/>
              <w:right w:w="220" w:type="dxa"/>
            </w:tcMar>
          </w:tcPr>
          <w:p w:rsidR="002A51FD" w:rsidRDefault="00EB4476">
            <w:pPr>
              <w:spacing w:line="300" w:lineRule="auto"/>
              <w:jc w:val="both"/>
            </w:pPr>
            <w:r>
              <w:rPr>
                <w:color w:val="475569"/>
                <w:shd w:val="clear" w:color="auto" w:fill="F8FAFC"/>
              </w:rPr>
              <w:t>Sağlık bilimleri alanında uluslararası standartlarda öğrenci yetiştiren, eğitim ve araştırmalarıyla uluslararası düzeyde tanınan, bölgesinin geleceğine bilim ışığında yön veren, mesleğinde yetkin ve sahip olduğu bilgi ve becerisini farklı alanlara uygulayabilen, ilkeli ve çağdaş bilim insanlarını yetiştiren öncü bir bilim ve eğitim merkezi olmaktır.</w:t>
            </w:r>
          </w:p>
        </w:tc>
      </w:tr>
    </w:tbl>
    <w:p w:rsidR="002A51FD" w:rsidRDefault="002A51FD">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A51FD">
        <w:tblPrEx>
          <w:tblCellMar>
            <w:top w:w="0" w:type="dxa"/>
            <w:bottom w:w="0" w:type="dxa"/>
          </w:tblCellMar>
        </w:tblPrEx>
        <w:tc>
          <w:tcPr>
            <w:tcW w:w="9360" w:type="dxa"/>
            <w:tcBorders>
              <w:top w:val="single" w:sz="4" w:space="0" w:color="1F4E78"/>
              <w:left w:val="single" w:sz="4" w:space="0" w:color="1F4E78"/>
              <w:bottom w:val="single" w:sz="4" w:space="0" w:color="1F4E78"/>
              <w:right w:val="single" w:sz="4" w:space="0" w:color="1F4E78"/>
            </w:tcBorders>
            <w:shd w:val="clear" w:color="auto" w:fill="1F4E78"/>
            <w:tcMar>
              <w:top w:w="110" w:type="dxa"/>
              <w:left w:w="200" w:type="dxa"/>
              <w:bottom w:w="110" w:type="dxa"/>
              <w:right w:w="200" w:type="dxa"/>
            </w:tcMar>
          </w:tcPr>
          <w:p w:rsidR="002A51FD" w:rsidRDefault="00A1614A">
            <w:r>
              <w:rPr>
                <w:b/>
                <w:bCs/>
                <w:color w:val="FFFFFF"/>
                <w:sz w:val="24"/>
                <w:szCs w:val="24"/>
              </w:rPr>
              <w:t>KALİTE POLİTİKASI</w:t>
            </w:r>
          </w:p>
        </w:tc>
      </w:tr>
    </w:tbl>
    <w:p w:rsidR="002A51FD" w:rsidRDefault="002A51FD">
      <w:pPr>
        <w:spacing w:after="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A51FD">
        <w:tblPrEx>
          <w:tblCellMar>
            <w:top w:w="0" w:type="dxa"/>
            <w:bottom w:w="0" w:type="dxa"/>
          </w:tblCellMar>
        </w:tblPrEx>
        <w:tc>
          <w:tcPr>
            <w:tcW w:w="9360" w:type="dxa"/>
            <w:tcBorders>
              <w:left w:val="single" w:sz="16" w:space="0" w:color="2E7D7B"/>
              <w:bottom w:val="single" w:sz="4" w:space="0" w:color="B0B0B0"/>
              <w:right w:val="single" w:sz="4" w:space="0" w:color="B0B0B0"/>
            </w:tcBorders>
            <w:tcMar>
              <w:top w:w="160" w:type="dxa"/>
              <w:left w:w="240" w:type="dxa"/>
              <w:bottom w:w="160" w:type="dxa"/>
              <w:right w:w="220" w:type="dxa"/>
            </w:tcMar>
          </w:tcPr>
          <w:p w:rsidR="002A51FD" w:rsidRDefault="00EB4476">
            <w:pPr>
              <w:spacing w:line="300" w:lineRule="auto"/>
              <w:jc w:val="both"/>
            </w:pPr>
            <w:r>
              <w:rPr>
                <w:color w:val="475569"/>
                <w:shd w:val="clear" w:color="auto" w:fill="F8FAFC"/>
              </w:rPr>
              <w:t>Burdur Mehmet Akif Ersoy Üniversitesi tüm birimleri ile misyon, vizyon ve değerleri doğrultusunda, ulusal ve bölgesel kalkınmaya odaklanmış, uluslararası tanınırlığa ve saygınlığa sahip, bilimsel yönden güçlü bir üniversite olmak için bütüncül ve sürdürülebilir kalite yönetimi anlayışı çerçevesinde tüm eğitim, araştırma ve yönetim süreçlerini iç ve dış paydaşların da katkılarıyla iyileştirerek sürekli gelişim sağlamayı benimsemiştir.</w:t>
            </w:r>
          </w:p>
        </w:tc>
      </w:tr>
    </w:tbl>
    <w:p w:rsidR="002A51FD" w:rsidRDefault="002A51FD">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A51FD">
        <w:tblPrEx>
          <w:tblCellMar>
            <w:top w:w="0" w:type="dxa"/>
            <w:bottom w:w="0" w:type="dxa"/>
          </w:tblCellMar>
        </w:tblPrEx>
        <w:tc>
          <w:tcPr>
            <w:tcW w:w="9360" w:type="dxa"/>
            <w:tcBorders>
              <w:top w:val="single" w:sz="4" w:space="0" w:color="1F4E78"/>
              <w:left w:val="single" w:sz="4" w:space="0" w:color="1F4E78"/>
              <w:bottom w:val="single" w:sz="4" w:space="0" w:color="1F4E78"/>
              <w:right w:val="single" w:sz="4" w:space="0" w:color="1F4E78"/>
            </w:tcBorders>
            <w:shd w:val="clear" w:color="auto" w:fill="1F4E78"/>
            <w:tcMar>
              <w:top w:w="110" w:type="dxa"/>
              <w:left w:w="200" w:type="dxa"/>
              <w:bottom w:w="110" w:type="dxa"/>
              <w:right w:w="200" w:type="dxa"/>
            </w:tcMar>
          </w:tcPr>
          <w:p w:rsidR="002A51FD" w:rsidRDefault="00A1614A">
            <w:pPr>
              <w:spacing w:after="40"/>
            </w:pPr>
            <w:r>
              <w:rPr>
                <w:b/>
                <w:bCs/>
                <w:color w:val="FFFFFF"/>
                <w:sz w:val="24"/>
                <w:szCs w:val="24"/>
              </w:rPr>
              <w:t>KALİTE POLİTİKASI İLKELERİMİZ</w:t>
            </w:r>
          </w:p>
          <w:p w:rsidR="002A51FD" w:rsidRDefault="00A1614A">
            <w:r>
              <w:rPr>
                <w:color w:val="DEEBF7"/>
                <w:sz w:val="18"/>
                <w:szCs w:val="18"/>
              </w:rPr>
              <w:t>ISO 9001:2015 Madde 5.2 kapsamında taahhütlerimiz</w:t>
            </w:r>
          </w:p>
        </w:tc>
      </w:tr>
    </w:tbl>
    <w:p w:rsidR="002A51FD" w:rsidRDefault="002A51FD">
      <w:pPr>
        <w:spacing w:after="50"/>
      </w:pPr>
    </w:p>
    <w:p w:rsidR="002A51FD" w:rsidRDefault="00A1614A">
      <w:pPr>
        <w:spacing w:after="120" w:line="300" w:lineRule="auto"/>
        <w:jc w:val="both"/>
      </w:pPr>
      <w:r>
        <w:t>Bu politika doğrultusunda Enstitümüz aşağıdaki ilkeleri taahhüt eder:</w:t>
      </w:r>
    </w:p>
    <w:p w:rsidR="002A51FD" w:rsidRDefault="00A1614A">
      <w:pPr>
        <w:pStyle w:val="ListeParagraf"/>
        <w:numPr>
          <w:ilvl w:val="0"/>
          <w:numId w:val="2"/>
        </w:numPr>
        <w:spacing w:before="40" w:after="40" w:line="276" w:lineRule="auto"/>
      </w:pPr>
      <w:r>
        <w:rPr>
          <w:sz w:val="21"/>
          <w:szCs w:val="21"/>
        </w:rPr>
        <w:t>Eğitim-öğretim, araştırma ve toplumsal katkı süreçlerini planlamak, uygulamak, izlemek ve sürekli iyileştirmek,</w:t>
      </w:r>
    </w:p>
    <w:p w:rsidR="002A51FD" w:rsidRDefault="00A1614A">
      <w:pPr>
        <w:pStyle w:val="ListeParagraf"/>
        <w:numPr>
          <w:ilvl w:val="0"/>
          <w:numId w:val="2"/>
        </w:numPr>
        <w:spacing w:before="40" w:after="40" w:line="276" w:lineRule="auto"/>
      </w:pPr>
      <w:r>
        <w:rPr>
          <w:sz w:val="21"/>
          <w:szCs w:val="21"/>
        </w:rPr>
        <w:t>Ulusal ve uluslararası kalite güvencesi standartları ile yükseköğretim mevzuatına uyum sağlamak,</w:t>
      </w:r>
    </w:p>
    <w:p w:rsidR="002A51FD" w:rsidRDefault="00A1614A">
      <w:pPr>
        <w:pStyle w:val="ListeParagraf"/>
        <w:numPr>
          <w:ilvl w:val="0"/>
          <w:numId w:val="2"/>
        </w:numPr>
        <w:spacing w:before="40" w:after="40" w:line="276" w:lineRule="auto"/>
      </w:pPr>
      <w:r>
        <w:rPr>
          <w:sz w:val="21"/>
          <w:szCs w:val="21"/>
        </w:rPr>
        <w:lastRenderedPageBreak/>
        <w:t xml:space="preserve">Şeffaflık, hesap verebilirlik ve etik ilkelere </w:t>
      </w:r>
      <w:r>
        <w:rPr>
          <w:sz w:val="21"/>
          <w:szCs w:val="21"/>
        </w:rPr>
        <w:t>bağlılığı esas almak,</w:t>
      </w:r>
    </w:p>
    <w:p w:rsidR="002A51FD" w:rsidRDefault="00A1614A">
      <w:pPr>
        <w:pStyle w:val="ListeParagraf"/>
        <w:numPr>
          <w:ilvl w:val="0"/>
          <w:numId w:val="2"/>
        </w:numPr>
        <w:spacing w:before="40" w:after="40" w:line="276" w:lineRule="auto"/>
      </w:pPr>
      <w:r>
        <w:rPr>
          <w:sz w:val="21"/>
          <w:szCs w:val="21"/>
        </w:rPr>
        <w:t>Paydaş katılımını ve paydaş memnuniyetini ön planda tutmak,</w:t>
      </w:r>
    </w:p>
    <w:p w:rsidR="002A51FD" w:rsidRDefault="00A1614A">
      <w:pPr>
        <w:pStyle w:val="ListeParagraf"/>
        <w:numPr>
          <w:ilvl w:val="0"/>
          <w:numId w:val="2"/>
        </w:numPr>
        <w:spacing w:before="40" w:after="40" w:line="276" w:lineRule="auto"/>
      </w:pPr>
      <w:r>
        <w:rPr>
          <w:sz w:val="21"/>
          <w:szCs w:val="21"/>
        </w:rPr>
        <w:t>Öğrenci merkezli öğrenme ve nitelikli araştırma ortamını güçlendirmek,</w:t>
      </w:r>
    </w:p>
    <w:p w:rsidR="002A51FD" w:rsidRDefault="00A1614A">
      <w:pPr>
        <w:pStyle w:val="ListeParagraf"/>
        <w:numPr>
          <w:ilvl w:val="0"/>
          <w:numId w:val="2"/>
        </w:numPr>
        <w:spacing w:before="40" w:after="40" w:line="276" w:lineRule="auto"/>
      </w:pPr>
      <w:r>
        <w:rPr>
          <w:sz w:val="21"/>
          <w:szCs w:val="21"/>
        </w:rPr>
        <w:t>Kurumsal kapasiteyi geliştirmek ve kalite kültürünü kurumsallaştırmak,</w:t>
      </w:r>
    </w:p>
    <w:p w:rsidR="002A51FD" w:rsidRDefault="00A1614A">
      <w:pPr>
        <w:pStyle w:val="ListeParagraf"/>
        <w:numPr>
          <w:ilvl w:val="0"/>
          <w:numId w:val="2"/>
        </w:numPr>
        <w:spacing w:before="40" w:after="40" w:line="276" w:lineRule="auto"/>
      </w:pPr>
      <w:r>
        <w:rPr>
          <w:sz w:val="21"/>
          <w:szCs w:val="21"/>
        </w:rPr>
        <w:t>Sürdürülebilir gelişimi ve sürek</w:t>
      </w:r>
      <w:r>
        <w:rPr>
          <w:sz w:val="21"/>
          <w:szCs w:val="21"/>
        </w:rPr>
        <w:t>li iyileştirmeyi taahhüt etmek.</w:t>
      </w:r>
    </w:p>
    <w:p w:rsidR="002A51FD" w:rsidRDefault="002A51FD">
      <w:pPr>
        <w:spacing w:after="120"/>
      </w:pPr>
    </w:p>
    <w:p w:rsidR="002A51FD" w:rsidRDefault="00A1614A">
      <w:pPr>
        <w:spacing w:after="160" w:line="300" w:lineRule="auto"/>
        <w:jc w:val="both"/>
      </w:pPr>
      <w:r>
        <w:rPr>
          <w:color w:val="444444"/>
          <w:sz w:val="20"/>
          <w:szCs w:val="20"/>
        </w:rPr>
        <w:t>Bu Kalite Politikası, Enstitü Yönetim Kurulu tarafından onaylanmış olup tüm çalışanlar tarafından benimsenmesi ve uygulanması esastır. Politika, değişen koşullar ve sürekli iyileştirme ihtiyacı doğrultusunda gözden geçirili</w:t>
      </w:r>
      <w:r>
        <w:rPr>
          <w:color w:val="444444"/>
          <w:sz w:val="20"/>
          <w:szCs w:val="20"/>
        </w:rPr>
        <w:t>r.</w:t>
      </w:r>
    </w:p>
    <w:p w:rsidR="002A51FD" w:rsidRDefault="002A51FD">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2A51FD">
        <w:tblPrEx>
          <w:tblCellMar>
            <w:top w:w="0" w:type="dxa"/>
            <w:bottom w:w="0" w:type="dxa"/>
          </w:tblCellMar>
        </w:tblPrEx>
        <w:tc>
          <w:tcPr>
            <w:tcW w:w="4680" w:type="dxa"/>
            <w:tcBorders>
              <w:top w:val="single" w:sz="4" w:space="0" w:color="B0B0B0"/>
              <w:left w:val="single" w:sz="4" w:space="0" w:color="B0B0B0"/>
              <w:bottom w:val="single" w:sz="4" w:space="0" w:color="B0B0B0"/>
              <w:right w:val="single" w:sz="4" w:space="0" w:color="B0B0B0"/>
            </w:tcBorders>
            <w:shd w:val="clear" w:color="auto" w:fill="DEEBF7"/>
            <w:tcMar>
              <w:top w:w="100" w:type="dxa"/>
              <w:left w:w="150" w:type="dxa"/>
              <w:bottom w:w="100" w:type="dxa"/>
              <w:right w:w="150" w:type="dxa"/>
            </w:tcMar>
          </w:tcPr>
          <w:p w:rsidR="002A51FD" w:rsidRDefault="00A1614A">
            <w:pPr>
              <w:jc w:val="center"/>
            </w:pPr>
            <w:r>
              <w:rPr>
                <w:b/>
                <w:bCs/>
                <w:color w:val="1F4E78"/>
                <w:sz w:val="20"/>
                <w:szCs w:val="20"/>
              </w:rPr>
              <w:t>Hazırlayan</w:t>
            </w:r>
          </w:p>
        </w:tc>
        <w:tc>
          <w:tcPr>
            <w:tcW w:w="4680" w:type="dxa"/>
            <w:tcBorders>
              <w:top w:val="single" w:sz="4" w:space="0" w:color="B0B0B0"/>
              <w:left w:val="single" w:sz="4" w:space="0" w:color="B0B0B0"/>
              <w:bottom w:val="single" w:sz="4" w:space="0" w:color="B0B0B0"/>
              <w:right w:val="single" w:sz="4" w:space="0" w:color="B0B0B0"/>
            </w:tcBorders>
            <w:shd w:val="clear" w:color="auto" w:fill="DEEBF7"/>
            <w:tcMar>
              <w:top w:w="100" w:type="dxa"/>
              <w:left w:w="150" w:type="dxa"/>
              <w:bottom w:w="100" w:type="dxa"/>
              <w:right w:w="150" w:type="dxa"/>
            </w:tcMar>
          </w:tcPr>
          <w:p w:rsidR="002A51FD" w:rsidRDefault="00A1614A">
            <w:pPr>
              <w:jc w:val="center"/>
            </w:pPr>
            <w:r>
              <w:rPr>
                <w:b/>
                <w:bCs/>
                <w:color w:val="1F4E78"/>
                <w:sz w:val="20"/>
                <w:szCs w:val="20"/>
              </w:rPr>
              <w:t>Onaylayan</w:t>
            </w:r>
          </w:p>
        </w:tc>
      </w:tr>
      <w:tr w:rsidR="002A51FD">
        <w:tblPrEx>
          <w:tblCellMar>
            <w:top w:w="0" w:type="dxa"/>
            <w:bottom w:w="0" w:type="dxa"/>
          </w:tblCellMar>
        </w:tblPrEx>
        <w:trPr>
          <w:trHeight w:val="1300"/>
        </w:trPr>
        <w:tc>
          <w:tcPr>
            <w:tcW w:w="4680" w:type="dxa"/>
            <w:tcBorders>
              <w:top w:val="single" w:sz="4" w:space="0" w:color="B0B0B0"/>
              <w:left w:val="single" w:sz="4" w:space="0" w:color="B0B0B0"/>
              <w:bottom w:val="single" w:sz="4" w:space="0" w:color="B0B0B0"/>
              <w:right w:val="single" w:sz="4" w:space="0" w:color="B0B0B0"/>
            </w:tcBorders>
            <w:tcMar>
              <w:top w:w="120" w:type="dxa"/>
              <w:left w:w="150" w:type="dxa"/>
              <w:bottom w:w="120" w:type="dxa"/>
              <w:right w:w="150" w:type="dxa"/>
            </w:tcMar>
          </w:tcPr>
          <w:p w:rsidR="002A51FD" w:rsidRDefault="00A1614A">
            <w:r>
              <w:rPr>
                <w:sz w:val="18"/>
                <w:szCs w:val="18"/>
              </w:rPr>
              <w:t>S</w:t>
            </w:r>
            <w:r w:rsidR="00EB4476">
              <w:rPr>
                <w:sz w:val="18"/>
                <w:szCs w:val="18"/>
              </w:rPr>
              <w:t xml:space="preserve">AGBİL </w:t>
            </w:r>
            <w:r>
              <w:rPr>
                <w:sz w:val="18"/>
                <w:szCs w:val="18"/>
              </w:rPr>
              <w:t>Kalite Komisyonu</w:t>
            </w:r>
          </w:p>
          <w:p w:rsidR="002A51FD" w:rsidRDefault="00A1614A">
            <w:pPr>
              <w:spacing w:before="600"/>
            </w:pPr>
            <w:r>
              <w:rPr>
                <w:color w:val="666666"/>
                <w:sz w:val="16"/>
                <w:szCs w:val="16"/>
              </w:rPr>
              <w:t>Ad-</w:t>
            </w:r>
            <w:proofErr w:type="spellStart"/>
            <w:r>
              <w:rPr>
                <w:color w:val="666666"/>
                <w:sz w:val="16"/>
                <w:szCs w:val="16"/>
              </w:rPr>
              <w:t>Soyad</w:t>
            </w:r>
            <w:proofErr w:type="spellEnd"/>
            <w:r>
              <w:rPr>
                <w:color w:val="666666"/>
                <w:sz w:val="16"/>
                <w:szCs w:val="16"/>
              </w:rPr>
              <w:t>: ____________________</w:t>
            </w:r>
          </w:p>
          <w:p w:rsidR="002A51FD" w:rsidRDefault="00A1614A">
            <w:r>
              <w:rPr>
                <w:color w:val="666666"/>
                <w:sz w:val="16"/>
                <w:szCs w:val="16"/>
              </w:rPr>
              <w:t>İmza / Tarih: ________________</w:t>
            </w:r>
          </w:p>
        </w:tc>
        <w:tc>
          <w:tcPr>
            <w:tcW w:w="4680" w:type="dxa"/>
            <w:tcBorders>
              <w:top w:val="single" w:sz="4" w:space="0" w:color="B0B0B0"/>
              <w:left w:val="single" w:sz="4" w:space="0" w:color="B0B0B0"/>
              <w:bottom w:val="single" w:sz="4" w:space="0" w:color="B0B0B0"/>
              <w:right w:val="single" w:sz="4" w:space="0" w:color="B0B0B0"/>
            </w:tcBorders>
            <w:tcMar>
              <w:top w:w="120" w:type="dxa"/>
              <w:left w:w="150" w:type="dxa"/>
              <w:bottom w:w="120" w:type="dxa"/>
              <w:right w:w="150" w:type="dxa"/>
            </w:tcMar>
          </w:tcPr>
          <w:p w:rsidR="002A51FD" w:rsidRDefault="00A1614A">
            <w:r>
              <w:rPr>
                <w:sz w:val="18"/>
                <w:szCs w:val="18"/>
              </w:rPr>
              <w:t>Enstitü Müdürü</w:t>
            </w:r>
          </w:p>
          <w:p w:rsidR="002A51FD" w:rsidRDefault="00A1614A">
            <w:pPr>
              <w:spacing w:before="600"/>
            </w:pPr>
            <w:r>
              <w:rPr>
                <w:color w:val="666666"/>
                <w:sz w:val="16"/>
                <w:szCs w:val="16"/>
              </w:rPr>
              <w:t>Ad-</w:t>
            </w:r>
            <w:proofErr w:type="spellStart"/>
            <w:r>
              <w:rPr>
                <w:color w:val="666666"/>
                <w:sz w:val="16"/>
                <w:szCs w:val="16"/>
              </w:rPr>
              <w:t>Soyad</w:t>
            </w:r>
            <w:proofErr w:type="spellEnd"/>
            <w:r>
              <w:rPr>
                <w:color w:val="666666"/>
                <w:sz w:val="16"/>
                <w:szCs w:val="16"/>
              </w:rPr>
              <w:t>: ____________________</w:t>
            </w:r>
          </w:p>
          <w:p w:rsidR="002A51FD" w:rsidRDefault="00A1614A">
            <w:r>
              <w:rPr>
                <w:color w:val="666666"/>
                <w:sz w:val="16"/>
                <w:szCs w:val="16"/>
              </w:rPr>
              <w:t>İmza / Tarih: ________________</w:t>
            </w:r>
          </w:p>
        </w:tc>
      </w:tr>
    </w:tbl>
    <w:p w:rsidR="00A1614A" w:rsidRDefault="00A1614A">
      <w:bookmarkStart w:id="0" w:name="_GoBack"/>
      <w:bookmarkEnd w:id="0"/>
    </w:p>
    <w:sectPr w:rsidR="00A1614A">
      <w:footerReference w:type="default" r:id="rId7"/>
      <w:pgSz w:w="11906" w:h="16838"/>
      <w:pgMar w:top="1080" w:right="1134" w:bottom="10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14A" w:rsidRDefault="00A1614A">
      <w:r>
        <w:separator/>
      </w:r>
    </w:p>
  </w:endnote>
  <w:endnote w:type="continuationSeparator" w:id="0">
    <w:p w:rsidR="00A1614A" w:rsidRDefault="00A1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1FD" w:rsidRDefault="00A1614A">
    <w:pPr>
      <w:pBdr>
        <w:top w:val="single" w:sz="4" w:space="4" w:color="1F4E78"/>
      </w:pBdr>
      <w:spacing w:before="60"/>
    </w:pPr>
    <w:r>
      <w:rPr>
        <w:color w:val="666666"/>
        <w:sz w:val="15"/>
        <w:szCs w:val="15"/>
      </w:rPr>
      <w:t>S</w:t>
    </w:r>
    <w:r w:rsidR="00EB4476">
      <w:rPr>
        <w:color w:val="666666"/>
        <w:sz w:val="15"/>
        <w:szCs w:val="15"/>
      </w:rPr>
      <w:t>AGBİL</w:t>
    </w:r>
    <w:r>
      <w:rPr>
        <w:color w:val="666666"/>
        <w:sz w:val="15"/>
        <w:szCs w:val="15"/>
      </w:rPr>
      <w:t xml:space="preserve"> Kalite Politikası — KP-01 — Yayın Tarihi </w:t>
    </w:r>
    <w:proofErr w:type="gramStart"/>
    <w:r>
      <w:rPr>
        <w:color w:val="666666"/>
        <w:sz w:val="15"/>
        <w:szCs w:val="15"/>
      </w:rPr>
      <w:t>18.06.2026  Sayfa</w:t>
    </w:r>
    <w:proofErr w:type="gramEnd"/>
    <w:r>
      <w:rPr>
        <w:color w:val="666666"/>
        <w:sz w:val="15"/>
        <w:szCs w:val="15"/>
      </w:rPr>
      <w:t xml:space="preserve"> </w:t>
    </w:r>
    <w:r>
      <w:rPr>
        <w:color w:val="666666"/>
        <w:sz w:val="15"/>
        <w:szCs w:val="15"/>
      </w:rPr>
      <w:fldChar w:fldCharType="begin"/>
    </w:r>
    <w:r>
      <w:rPr>
        <w:color w:val="666666"/>
        <w:sz w:val="15"/>
        <w:szCs w:val="15"/>
      </w:rPr>
      <w:instrText>PAGE</w:instrText>
    </w:r>
    <w:r w:rsidR="00EB4476">
      <w:rPr>
        <w:color w:val="666666"/>
        <w:sz w:val="15"/>
        <w:szCs w:val="15"/>
      </w:rPr>
      <w:fldChar w:fldCharType="separate"/>
    </w:r>
    <w:r w:rsidR="00EB4476">
      <w:rPr>
        <w:noProof/>
        <w:color w:val="666666"/>
        <w:sz w:val="15"/>
        <w:szCs w:val="15"/>
      </w:rPr>
      <w:t>1</w:t>
    </w:r>
    <w:r>
      <w:rPr>
        <w:color w:val="666666"/>
        <w:sz w:val="15"/>
        <w:szCs w:val="15"/>
      </w:rPr>
      <w:fldChar w:fldCharType="end"/>
    </w:r>
    <w:r>
      <w:rPr>
        <w:color w:val="666666"/>
        <w:sz w:val="15"/>
        <w:szCs w:val="15"/>
      </w:rPr>
      <w:t xml:space="preserve"> / </w:t>
    </w:r>
    <w:r>
      <w:rPr>
        <w:color w:val="666666"/>
        <w:sz w:val="15"/>
        <w:szCs w:val="15"/>
      </w:rPr>
      <w:fldChar w:fldCharType="begin"/>
    </w:r>
    <w:r>
      <w:rPr>
        <w:color w:val="666666"/>
        <w:sz w:val="15"/>
        <w:szCs w:val="15"/>
      </w:rPr>
      <w:instrText>NUMPAGES</w:instrText>
    </w:r>
    <w:r w:rsidR="00EB4476">
      <w:rPr>
        <w:color w:val="666666"/>
        <w:sz w:val="15"/>
        <w:szCs w:val="15"/>
      </w:rPr>
      <w:fldChar w:fldCharType="separate"/>
    </w:r>
    <w:r w:rsidR="00EB4476">
      <w:rPr>
        <w:noProof/>
        <w:color w:val="666666"/>
        <w:sz w:val="15"/>
        <w:szCs w:val="15"/>
      </w:rPr>
      <w:t>1</w:t>
    </w:r>
    <w:r>
      <w:rPr>
        <w:color w:val="66666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14A" w:rsidRDefault="00A1614A">
      <w:r>
        <w:separator/>
      </w:r>
    </w:p>
  </w:footnote>
  <w:footnote w:type="continuationSeparator" w:id="0">
    <w:p w:rsidR="00A1614A" w:rsidRDefault="00A16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2487A"/>
    <w:multiLevelType w:val="hybridMultilevel"/>
    <w:tmpl w:val="58CC21CC"/>
    <w:lvl w:ilvl="0" w:tplc="FEE8BF86">
      <w:start w:val="1"/>
      <w:numFmt w:val="bullet"/>
      <w:lvlText w:val="●"/>
      <w:lvlJc w:val="left"/>
      <w:pPr>
        <w:ind w:left="720" w:hanging="360"/>
      </w:pPr>
    </w:lvl>
    <w:lvl w:ilvl="1" w:tplc="2C8AFFFA">
      <w:start w:val="1"/>
      <w:numFmt w:val="bullet"/>
      <w:lvlText w:val="○"/>
      <w:lvlJc w:val="left"/>
      <w:pPr>
        <w:ind w:left="1440" w:hanging="360"/>
      </w:pPr>
    </w:lvl>
    <w:lvl w:ilvl="2" w:tplc="CC8E1D44">
      <w:start w:val="1"/>
      <w:numFmt w:val="bullet"/>
      <w:lvlText w:val="■"/>
      <w:lvlJc w:val="left"/>
      <w:pPr>
        <w:ind w:left="2160" w:hanging="360"/>
      </w:pPr>
    </w:lvl>
    <w:lvl w:ilvl="3" w:tplc="1DD4B33E">
      <w:start w:val="1"/>
      <w:numFmt w:val="bullet"/>
      <w:lvlText w:val="●"/>
      <w:lvlJc w:val="left"/>
      <w:pPr>
        <w:ind w:left="2880" w:hanging="360"/>
      </w:pPr>
    </w:lvl>
    <w:lvl w:ilvl="4" w:tplc="018CC114">
      <w:start w:val="1"/>
      <w:numFmt w:val="bullet"/>
      <w:lvlText w:val="○"/>
      <w:lvlJc w:val="left"/>
      <w:pPr>
        <w:ind w:left="3600" w:hanging="360"/>
      </w:pPr>
    </w:lvl>
    <w:lvl w:ilvl="5" w:tplc="AECE9F04">
      <w:start w:val="1"/>
      <w:numFmt w:val="bullet"/>
      <w:lvlText w:val="■"/>
      <w:lvlJc w:val="left"/>
      <w:pPr>
        <w:ind w:left="4320" w:hanging="360"/>
      </w:pPr>
    </w:lvl>
    <w:lvl w:ilvl="6" w:tplc="EBE44B48">
      <w:start w:val="1"/>
      <w:numFmt w:val="bullet"/>
      <w:lvlText w:val="●"/>
      <w:lvlJc w:val="left"/>
      <w:pPr>
        <w:ind w:left="5040" w:hanging="360"/>
      </w:pPr>
    </w:lvl>
    <w:lvl w:ilvl="7" w:tplc="9CF85CE4">
      <w:start w:val="1"/>
      <w:numFmt w:val="bullet"/>
      <w:lvlText w:val="●"/>
      <w:lvlJc w:val="left"/>
      <w:pPr>
        <w:ind w:left="5760" w:hanging="360"/>
      </w:pPr>
    </w:lvl>
    <w:lvl w:ilvl="8" w:tplc="F208CD90">
      <w:start w:val="1"/>
      <w:numFmt w:val="bullet"/>
      <w:lvlText w:val="●"/>
      <w:lvlJc w:val="left"/>
      <w:pPr>
        <w:ind w:left="6480" w:hanging="360"/>
      </w:pPr>
    </w:lvl>
  </w:abstractNum>
  <w:abstractNum w:abstractNumId="1" w15:restartNumberingAfterBreak="0">
    <w:nsid w:val="4278304D"/>
    <w:multiLevelType w:val="hybridMultilevel"/>
    <w:tmpl w:val="64CC651A"/>
    <w:lvl w:ilvl="0" w:tplc="05306C80">
      <w:start w:val="1"/>
      <w:numFmt w:val="bullet"/>
      <w:lvlText w:val="▪"/>
      <w:lvlJc w:val="left"/>
      <w:pPr>
        <w:ind w:left="460" w:hanging="240"/>
      </w:pPr>
    </w:lvl>
    <w:lvl w:ilvl="1" w:tplc="EB9E8BCC">
      <w:numFmt w:val="decimal"/>
      <w:lvlText w:val=""/>
      <w:lvlJc w:val="left"/>
    </w:lvl>
    <w:lvl w:ilvl="2" w:tplc="84565638">
      <w:numFmt w:val="decimal"/>
      <w:lvlText w:val=""/>
      <w:lvlJc w:val="left"/>
    </w:lvl>
    <w:lvl w:ilvl="3" w:tplc="3B1CF890">
      <w:numFmt w:val="decimal"/>
      <w:lvlText w:val=""/>
      <w:lvlJc w:val="left"/>
    </w:lvl>
    <w:lvl w:ilvl="4" w:tplc="56F42372">
      <w:numFmt w:val="decimal"/>
      <w:lvlText w:val=""/>
      <w:lvlJc w:val="left"/>
    </w:lvl>
    <w:lvl w:ilvl="5" w:tplc="15B891C6">
      <w:numFmt w:val="decimal"/>
      <w:lvlText w:val=""/>
      <w:lvlJc w:val="left"/>
    </w:lvl>
    <w:lvl w:ilvl="6" w:tplc="F63CFE9A">
      <w:numFmt w:val="decimal"/>
      <w:lvlText w:val=""/>
      <w:lvlJc w:val="left"/>
    </w:lvl>
    <w:lvl w:ilvl="7" w:tplc="0E32DF7A">
      <w:numFmt w:val="decimal"/>
      <w:lvlText w:val=""/>
      <w:lvlJc w:val="left"/>
    </w:lvl>
    <w:lvl w:ilvl="8" w:tplc="CD56D1D8">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FD"/>
    <w:rsid w:val="002A51FD"/>
    <w:rsid w:val="00A1614A"/>
    <w:rsid w:val="00EB44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5333"/>
  <w15:docId w15:val="{2B440BA1-359A-4BB8-BA51-509DFFBB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EB4476"/>
    <w:pPr>
      <w:tabs>
        <w:tab w:val="center" w:pos="4536"/>
        <w:tab w:val="right" w:pos="9072"/>
      </w:tabs>
    </w:pPr>
  </w:style>
  <w:style w:type="character" w:customStyle="1" w:styleId="stBilgiChar">
    <w:name w:val="Üst Bilgi Char"/>
    <w:basedOn w:val="VarsaylanParagrafYazTipi"/>
    <w:link w:val="stBilgi"/>
    <w:uiPriority w:val="99"/>
    <w:rsid w:val="00EB4476"/>
  </w:style>
  <w:style w:type="paragraph" w:styleId="AltBilgi">
    <w:name w:val="footer"/>
    <w:basedOn w:val="Normal"/>
    <w:link w:val="AltBilgiChar"/>
    <w:uiPriority w:val="99"/>
    <w:unhideWhenUsed/>
    <w:rsid w:val="00EB4476"/>
    <w:pPr>
      <w:tabs>
        <w:tab w:val="center" w:pos="4536"/>
        <w:tab w:val="right" w:pos="9072"/>
      </w:tabs>
    </w:pPr>
  </w:style>
  <w:style w:type="character" w:customStyle="1" w:styleId="AltBilgiChar">
    <w:name w:val="Alt Bilgi Char"/>
    <w:basedOn w:val="VarsaylanParagrafYazTipi"/>
    <w:link w:val="AltBilgi"/>
    <w:uiPriority w:val="99"/>
    <w:rsid w:val="00EB4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SBE Kalite Politikası</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SBE Kalite Politikası</dc:title>
  <dc:creator>Burdur MAKÜ Sosyal Bilimler Enstitüsü</dc:creator>
  <cp:lastModifiedBy>USER</cp:lastModifiedBy>
  <cp:revision>2</cp:revision>
  <cp:lastPrinted>2026-07-02T09:12:00Z</cp:lastPrinted>
  <dcterms:created xsi:type="dcterms:W3CDTF">2026-07-02T09:14:00Z</dcterms:created>
  <dcterms:modified xsi:type="dcterms:W3CDTF">2026-07-02T09:14:00Z</dcterms:modified>
</cp:coreProperties>
</file>