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E40139" w:sz="8" w:space="2"/>
        </w:pBdr>
        <w:spacing w:after="120" w:before="240"/>
      </w:pPr>
      <w:r>
        <w:rPr>
          <w:rFonts w:ascii="Times New Roman" w:cs="Times New Roman" w:eastAsia="Times New Roman" w:hAnsi="Times New Roman"/>
          <w:b/>
          <w:bCs/>
          <w:color w:val="392668"/>
          <w:sz w:val="24"/>
          <w:szCs w:val="24"/>
        </w:rPr>
        <w:t xml:space="preserve">1. POZİSYON BİLGİLERİ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Birim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Sağlık Bilimleri Enstitüsü</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Görev Unvanı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Müdürü</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Kadro Unvanı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Öğretim Üyesi (Profesör, Doçent veya Doktor Öğretim Üyesi)</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Bağlı Olduğu Makam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Rektör</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Kendisine Bağlı Kadrolar</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Müdür Yardımcıları, Enstitü Sekreteri, Anabilim Dalı Başkanları ile enstitüde görevli tüm akademik ve idari personel</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Atanma Şekli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Üç yıl için Rektör tarafından atanır; rektörlüğe bağlı enstitülerde atama doğrudan Rektör tarafından yapılır. Süresi biten müdür yeniden atanabilir. (2547 s.K. md. 19/b; Akademik Teşkilat Yön. md. 11/b)</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Müdür Yardımcısı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Enstitüde görevli aylıklı öğretim elemanları arasından üç yıl için atanan en çok iki yardımcı bulunur. (2547 s.K. md. 19/b)</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Vekalet</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Müdüre vekalet etme veya müdürlüğün boşalmasında dekanlara ilişkin hükümler uygulanır; vekalet altı aydan fazla sürerse yeni müdür atanır. (2547 s.K. md. 16, md. 19)</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2. AMAÇ</w:t>
      </w:r>
    </w:p>
    <w:p>
      <w:pPr>
        <w:spacing w:after="120" w:line="276"/>
        <w:jc w:val="both"/>
      </w:pPr>
      <w:r>
        <w:rPr>
          <w:rFonts w:ascii="Times New Roman" w:cs="Times New Roman" w:eastAsia="Times New Roman" w:hAnsi="Times New Roman"/>
          <w:sz w:val="22"/>
          <w:szCs w:val="22"/>
        </w:rPr>
        <w:t xml:space="preserve">Bu görev tanımının amacı; Sağlık Bilimleri Enstitüsü Müdürü'nün görev, yetki ve sorumluluklarını başta 2547 sayılı Yükseköğretim Kanunu, Üniversitelerde Akademik Teşkilat Yönetmeliği ve 657 sayılı Devlet Memurları Kanunu olmak üzere ilgili mevzuat ile Kalite Yönetim Sistemi gerekliliklerine uygun olarak tanımlamak; enstitünün eğitim-öğretim, bilimsel araştırma ve idari hizmetlerinin etkin, verimli ve sürekli iyileştirmeye açık bir şekilde yürütülmesini sağlamaktır.</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3. GÖREV, YETKİ VE SORUMLULUKLAR</w:t>
      </w:r>
    </w:p>
    <w:p>
      <w:pPr>
        <w:spacing w:after="100" w:line="276"/>
        <w:jc w:val="both"/>
      </w:pPr>
      <w:r>
        <w:rPr>
          <w:rFonts w:ascii="Times New Roman" w:cs="Times New Roman" w:eastAsia="Times New Roman" w:hAnsi="Times New Roman"/>
          <w:sz w:val="22"/>
          <w:szCs w:val="22"/>
        </w:rPr>
        <w:t xml:space="preserve">Enstitü Müdürü, 2547 sayılı Kanun'un 19. maddesi gereğince, anılan Kanun ile dekanlara verilmiş olan görevleri enstitü bakımından yerine getirir (Üniversitelerde Akademik Teşkilat Yönetmeliği md. 11). Bu çerçevede başlıca görev, yetki ve sorumlulukları aşağıda belirtilmiştir.</w:t>
      </w:r>
    </w:p>
    <w:p>
      <w:pPr>
        <w:spacing w:after="80" w:before="140"/>
      </w:pPr>
      <w:r>
        <w:rPr>
          <w:rFonts w:ascii="Times New Roman" w:cs="Times New Roman" w:eastAsia="Times New Roman" w:hAnsi="Times New Roman"/>
          <w:b/>
          <w:bCs/>
          <w:color w:val="392668"/>
          <w:sz w:val="22"/>
          <w:szCs w:val="22"/>
        </w:rPr>
        <w:t xml:space="preserve">3.1. Görevleri</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Kurulu ve Enstitü Yönetim Kurulu'na başkanlık etmek, bu kurulların kararlarını uygulamak ve enstitü birimleri arasında düzenli çalışmayı sağlamak.</w:t>
      </w:r>
      <w:r>
        <w:rPr>
          <w:rFonts w:ascii="Times New Roman" w:cs="Times New Roman" w:eastAsia="Times New Roman" w:hAnsi="Times New Roman"/>
          <w:i/>
          <w:iCs/>
          <w:color w:val="7F7F7F"/>
          <w:sz w:val="16"/>
          <w:szCs w:val="16"/>
        </w:rPr>
        <w:t xml:space="preserve">  (2547 s.K. md. 16/b-1, md. 19; Akademik Teşkilat Yön. md. 8/b-1)</w:t>
      </w:r>
    </w:p>
    <w:p>
      <w:pPr>
        <w:pStyle w:val="ListParagraph"/>
        <w:numPr>
          <w:ilvl w:val="0"/>
          <w:numId w:val="2"/>
        </w:numPr>
        <w:spacing w:after="70" w:line="276"/>
        <w:jc w:val="both"/>
      </w:pPr>
      <w:r>
        <w:rPr>
          <w:rFonts w:ascii="Times New Roman" w:cs="Times New Roman" w:eastAsia="Times New Roman" w:hAnsi="Times New Roman"/>
          <w:sz w:val="22"/>
          <w:szCs w:val="22"/>
        </w:rPr>
        <w:t xml:space="preserve">Her öğretim yılı sonunda ve istenildiğinde enstitünün genel durumu ve işleyişi hakkında Rektöre rapor vermek.</w:t>
      </w:r>
      <w:r>
        <w:rPr>
          <w:rFonts w:ascii="Times New Roman" w:cs="Times New Roman" w:eastAsia="Times New Roman" w:hAnsi="Times New Roman"/>
          <w:i/>
          <w:iCs/>
          <w:color w:val="7F7F7F"/>
          <w:sz w:val="16"/>
          <w:szCs w:val="16"/>
        </w:rPr>
        <w:t xml:space="preserve">  (2547 s.K. md. 16/b-2; Akademik Teşkilat Yön. md. 8/b-2)</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Enstitünün ödenek ve kadro ihtiyaçlarını gerekçesiyle birlikte Rektörlüğe bildirmek; enstitü bütçesi ile ilgili öneriyi Enstitü Yönetim Kurulu'nun görüşünü aldıktan sonra Rektörlüğe sunmak.</w:t>
      </w:r>
      <w:r>
        <w:rPr>
          <w:rFonts w:ascii="Times New Roman" w:cs="Times New Roman" w:eastAsia="Times New Roman" w:hAnsi="Times New Roman"/>
          <w:i/>
          <w:iCs/>
          <w:color w:val="7F7F7F"/>
          <w:sz w:val="16"/>
          <w:szCs w:val="16"/>
        </w:rPr>
        <w:t xml:space="preserve">  (2547 s.K. md. 16/b-3; Akademik Teşkilat Yön. md. 8/b-3)</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Enstitünün birimleri ve her düzeydeki personeli üzerinde genel gözetim ve denetim görevini yürütmek.</w:t>
      </w:r>
      <w:r>
        <w:rPr>
          <w:rFonts w:ascii="Times New Roman" w:cs="Times New Roman" w:eastAsia="Times New Roman" w:hAnsi="Times New Roman"/>
          <w:i/>
          <w:iCs/>
          <w:color w:val="7F7F7F"/>
          <w:sz w:val="16"/>
          <w:szCs w:val="16"/>
        </w:rPr>
        <w:t xml:space="preserve">  (2547 s.K. md. 16/b-4; Akademik Teşkilat Yön. md. 8/b-4)</w:t>
      </w:r>
    </w:p>
    <w:p>
      <w:pPr>
        <w:pStyle w:val="ListParagraph"/>
        <w:numPr>
          <w:ilvl w:val="0"/>
          <w:numId w:val="2"/>
        </w:numPr>
        <w:spacing w:after="70" w:line="276"/>
        <w:jc w:val="both"/>
      </w:pPr>
      <w:r>
        <w:rPr>
          <w:rFonts w:ascii="Times New Roman" w:cs="Times New Roman" w:eastAsia="Times New Roman" w:hAnsi="Times New Roman"/>
          <w:sz w:val="22"/>
          <w:szCs w:val="22"/>
        </w:rPr>
        <w:t xml:space="preserve">Lisansüstü eğitim-öğretim ve bilimsel araştırma faaliyetlerinin akademik takvime ve mevzuata uygun olarak düzenli biçimde yürütülmesini sağlamak.</w:t>
      </w:r>
      <w:r>
        <w:rPr>
          <w:rFonts w:ascii="Times New Roman" w:cs="Times New Roman" w:eastAsia="Times New Roman" w:hAnsi="Times New Roman"/>
          <w:i/>
          <w:iCs/>
          <w:color w:val="7F7F7F"/>
          <w:sz w:val="16"/>
          <w:szCs w:val="16"/>
        </w:rPr>
        <w:t xml:space="preserve">  (2547 s.K. md. 16/b son fıkra; Lisansüstü Eğitim ve Öğretim Yönetmeliği)</w:t>
      </w:r>
    </w:p>
    <w:p>
      <w:pPr>
        <w:pStyle w:val="ListParagraph"/>
        <w:numPr>
          <w:ilvl w:val="0"/>
          <w:numId w:val="2"/>
        </w:numPr>
        <w:spacing w:after="70" w:line="276"/>
        <w:jc w:val="both"/>
      </w:pPr>
      <w:r>
        <w:rPr>
          <w:rFonts w:ascii="Times New Roman" w:cs="Times New Roman" w:eastAsia="Times New Roman" w:hAnsi="Times New Roman"/>
          <w:sz w:val="22"/>
          <w:szCs w:val="22"/>
        </w:rPr>
        <w:t xml:space="preserve">Harcama yetkilisi sıfatıyla enstitü bütçesinin etkin, ekonomik ve verimli kullanılmasını sağlamak.</w:t>
      </w:r>
      <w:r>
        <w:rPr>
          <w:rFonts w:ascii="Times New Roman" w:cs="Times New Roman" w:eastAsia="Times New Roman" w:hAnsi="Times New Roman"/>
          <w:i/>
          <w:iCs/>
          <w:color w:val="7F7F7F"/>
          <w:sz w:val="16"/>
          <w:szCs w:val="16"/>
        </w:rPr>
        <w:t xml:space="preserve">  (5018 s.K. md. 31)</w:t>
      </w:r>
    </w:p>
    <w:p>
      <w:pPr>
        <w:pStyle w:val="ListParagraph"/>
        <w:numPr>
          <w:ilvl w:val="0"/>
          <w:numId w:val="2"/>
        </w:numPr>
        <w:spacing w:after="70" w:line="276"/>
        <w:jc w:val="both"/>
      </w:pPr>
      <w:r>
        <w:rPr>
          <w:rFonts w:ascii="Times New Roman" w:cs="Times New Roman" w:eastAsia="Times New Roman" w:hAnsi="Times New Roman"/>
          <w:sz w:val="22"/>
          <w:szCs w:val="22"/>
        </w:rPr>
        <w:t xml:space="preserve">Kalite Yönetim Sistemi kapsamında enstitü kalite politikası ve hedeflerinin belirlenmesini, uygulanmasını, izlenmesini ve sürekli iyileştirilmesini sağlamak.</w:t>
      </w:r>
      <w:r>
        <w:rPr>
          <w:rFonts w:ascii="Times New Roman" w:cs="Times New Roman" w:eastAsia="Times New Roman" w:hAnsi="Times New Roman"/>
          <w:i/>
          <w:iCs/>
          <w:color w:val="7F7F7F"/>
          <w:sz w:val="16"/>
          <w:szCs w:val="16"/>
        </w:rPr>
        <w:t xml:space="preserve">  (TS EN ISO 9001:2015)</w:t>
      </w:r>
    </w:p>
    <w:p>
      <w:pPr>
        <w:pStyle w:val="ListParagraph"/>
        <w:numPr>
          <w:ilvl w:val="0"/>
          <w:numId w:val="2"/>
        </w:numPr>
        <w:spacing w:after="70" w:line="276"/>
        <w:jc w:val="both"/>
      </w:pPr>
      <w:r>
        <w:rPr>
          <w:rFonts w:ascii="Times New Roman" w:cs="Times New Roman" w:eastAsia="Times New Roman" w:hAnsi="Times New Roman"/>
          <w:sz w:val="22"/>
          <w:szCs w:val="22"/>
        </w:rPr>
        <w:t xml:space="preserve">Kanun ve yönetmeliklerle kendisine verilen diğer görevleri yapmak.</w:t>
      </w:r>
      <w:r>
        <w:rPr>
          <w:rFonts w:ascii="Times New Roman" w:cs="Times New Roman" w:eastAsia="Times New Roman" w:hAnsi="Times New Roman"/>
          <w:i/>
          <w:iCs/>
          <w:color w:val="7F7F7F"/>
          <w:sz w:val="16"/>
          <w:szCs w:val="16"/>
        </w:rPr>
        <w:t xml:space="preserve">  (2547 s.K. md. 16/b-5)</w:t>
      </w:r>
    </w:p>
    <w:p>
      <w:pPr>
        <w:spacing w:after="80" w:before="140"/>
      </w:pPr>
      <w:r>
        <w:rPr>
          <w:rFonts w:ascii="Times New Roman" w:cs="Times New Roman" w:eastAsia="Times New Roman" w:hAnsi="Times New Roman"/>
          <w:b/>
          <w:bCs/>
          <w:color w:val="392668"/>
          <w:sz w:val="22"/>
          <w:szCs w:val="22"/>
        </w:rPr>
        <w:t xml:space="preserve">3.2. Yetkileri</w:t>
      </w:r>
    </w:p>
    <w:p>
      <w:pPr>
        <w:pStyle w:val="ListParagraph"/>
        <w:numPr>
          <w:ilvl w:val="0"/>
          <w:numId w:val="3"/>
        </w:numPr>
        <w:spacing w:after="70" w:line="276"/>
        <w:jc w:val="both"/>
      </w:pPr>
      <w:r>
        <w:rPr>
          <w:rFonts w:ascii="Times New Roman" w:cs="Times New Roman" w:eastAsia="Times New Roman" w:hAnsi="Times New Roman"/>
          <w:sz w:val="22"/>
          <w:szCs w:val="22"/>
        </w:rPr>
        <w:t xml:space="preserve">Enstitü Kurulu ve Enstitü Yönetim Kurulu'nu toplantıya çağırma ve bu kurullara başkanlık etme yetkisi.</w:t>
      </w:r>
      <w:r>
        <w:rPr>
          <w:rFonts w:ascii="Times New Roman" w:cs="Times New Roman" w:eastAsia="Times New Roman" w:hAnsi="Times New Roman"/>
          <w:i/>
          <w:iCs/>
          <w:color w:val="7F7F7F"/>
          <w:sz w:val="16"/>
          <w:szCs w:val="16"/>
        </w:rPr>
        <w:t xml:space="preserve">  (2547 s.K. md. 19/c-d)</w:t>
      </w:r>
    </w:p>
    <w:p>
      <w:pPr>
        <w:pStyle w:val="ListParagraph"/>
        <w:numPr>
          <w:ilvl w:val="0"/>
          <w:numId w:val="3"/>
        </w:numPr>
        <w:spacing w:after="70" w:line="276"/>
        <w:jc w:val="both"/>
      </w:pPr>
      <w:r>
        <w:rPr>
          <w:rFonts w:ascii="Times New Roman" w:cs="Times New Roman" w:eastAsia="Times New Roman" w:hAnsi="Times New Roman"/>
          <w:sz w:val="22"/>
          <w:szCs w:val="22"/>
        </w:rPr>
        <w:t xml:space="preserve">Enstitüde görevli aylıklı öğretim elemanları arasından en çok iki müdür yardımcısı atama ve gerektiğinde değiştirme yetkisi.</w:t>
      </w:r>
      <w:r>
        <w:rPr>
          <w:rFonts w:ascii="Times New Roman" w:cs="Times New Roman" w:eastAsia="Times New Roman" w:hAnsi="Times New Roman"/>
          <w:i/>
          <w:iCs/>
          <w:color w:val="7F7F7F"/>
          <w:sz w:val="16"/>
          <w:szCs w:val="16"/>
        </w:rPr>
        <w:t xml:space="preserve">  (2547 s.K. md. 19/b; Akademik Teşkilat Yön. md. 11/b)</w:t>
      </w:r>
    </w:p>
    <w:p>
      <w:pPr>
        <w:pStyle w:val="ListParagraph"/>
        <w:numPr>
          <w:ilvl w:val="0"/>
          <w:numId w:val="3"/>
        </w:numPr>
        <w:spacing w:after="70" w:line="276"/>
        <w:jc w:val="both"/>
      </w:pPr>
      <w:r>
        <w:rPr>
          <w:rFonts w:ascii="Times New Roman" w:cs="Times New Roman" w:eastAsia="Times New Roman" w:hAnsi="Times New Roman"/>
          <w:sz w:val="22"/>
          <w:szCs w:val="22"/>
        </w:rPr>
        <w:t xml:space="preserve">Harcama yetkilisi sıfatıyla mali işlemleri onaylama ve gerçekleştirme görevlilerini belirleme yetkisi.</w:t>
      </w:r>
      <w:r>
        <w:rPr>
          <w:rFonts w:ascii="Times New Roman" w:cs="Times New Roman" w:eastAsia="Times New Roman" w:hAnsi="Times New Roman"/>
          <w:i/>
          <w:iCs/>
          <w:color w:val="7F7F7F"/>
          <w:sz w:val="16"/>
          <w:szCs w:val="16"/>
        </w:rPr>
        <w:t xml:space="preserve">  (5018 s.K. md. 31-33)</w:t>
      </w:r>
    </w:p>
    <w:p>
      <w:pPr>
        <w:pStyle w:val="ListParagraph"/>
        <w:numPr>
          <w:ilvl w:val="0"/>
          <w:numId w:val="3"/>
        </w:numPr>
        <w:spacing w:after="70" w:line="276"/>
        <w:jc w:val="both"/>
      </w:pPr>
      <w:r>
        <w:rPr>
          <w:rFonts w:ascii="Times New Roman" w:cs="Times New Roman" w:eastAsia="Times New Roman" w:hAnsi="Times New Roman"/>
          <w:sz w:val="22"/>
          <w:szCs w:val="22"/>
        </w:rPr>
        <w:t xml:space="preserve">Kendisine bağlı, 657 sayılı Kanun'a tabi personel üzerinde amirlik yetkisini mevzuat çerçevesinde kullanma yetkisi.</w:t>
      </w:r>
      <w:r>
        <w:rPr>
          <w:rFonts w:ascii="Times New Roman" w:cs="Times New Roman" w:eastAsia="Times New Roman" w:hAnsi="Times New Roman"/>
          <w:i/>
          <w:iCs/>
          <w:color w:val="7F7F7F"/>
          <w:sz w:val="16"/>
          <w:szCs w:val="16"/>
        </w:rPr>
        <w:t xml:space="preserve">  (657 s.K. md. 10)</w:t>
      </w:r>
    </w:p>
    <w:p>
      <w:pPr>
        <w:pStyle w:val="ListParagraph"/>
        <w:numPr>
          <w:ilvl w:val="0"/>
          <w:numId w:val="3"/>
        </w:numPr>
        <w:spacing w:after="70" w:line="276"/>
        <w:jc w:val="both"/>
      </w:pPr>
      <w:r>
        <w:rPr>
          <w:rFonts w:ascii="Times New Roman" w:cs="Times New Roman" w:eastAsia="Times New Roman" w:hAnsi="Times New Roman"/>
          <w:sz w:val="22"/>
          <w:szCs w:val="22"/>
        </w:rPr>
        <w:t xml:space="preserve">Enstitü adına resmi yazışma ve belgeleri imzalama ile personele görev dağılımı yapma yetkisi.</w:t>
      </w:r>
    </w:p>
    <w:p>
      <w:pPr>
        <w:spacing w:after="80" w:before="140"/>
      </w:pPr>
      <w:r>
        <w:rPr>
          <w:rFonts w:ascii="Times New Roman" w:cs="Times New Roman" w:eastAsia="Times New Roman" w:hAnsi="Times New Roman"/>
          <w:b/>
          <w:bCs/>
          <w:color w:val="392668"/>
          <w:sz w:val="22"/>
          <w:szCs w:val="22"/>
        </w:rPr>
        <w:t xml:space="preserve">3.3. Sorumlulukları</w:t>
      </w:r>
    </w:p>
    <w:p>
      <w:pPr>
        <w:pStyle w:val="ListParagraph"/>
        <w:numPr>
          <w:ilvl w:val="0"/>
          <w:numId w:val="4"/>
        </w:numPr>
        <w:spacing w:after="70" w:line="276"/>
        <w:jc w:val="both"/>
      </w:pPr>
      <w:r>
        <w:rPr>
          <w:rFonts w:ascii="Times New Roman" w:cs="Times New Roman" w:eastAsia="Times New Roman" w:hAnsi="Times New Roman"/>
          <w:sz w:val="22"/>
          <w:szCs w:val="22"/>
        </w:rPr>
        <w:t xml:space="preserve">Enstitünün ve bağlı birimlerinin öğretim kapasitesinin rasyonel kullanılması ve geliştirilmesinde, gerektiğinde güvenlik önlemlerinin alınmasında, öğrencilere gerekli sosyal hizmetlerin sağlanmasında, eğitim-öğretim ve bilimsel araştırma faaliyetlerinin düzenli yürütülmesinde ve tüm faaliyetlerin gözetim, denetim ve kontrolünde Rektöre karşı birinci derecede sorumludur.</w:t>
      </w:r>
      <w:r>
        <w:rPr>
          <w:rFonts w:ascii="Times New Roman" w:cs="Times New Roman" w:eastAsia="Times New Roman" w:hAnsi="Times New Roman"/>
          <w:i/>
          <w:iCs/>
          <w:color w:val="7F7F7F"/>
          <w:sz w:val="16"/>
          <w:szCs w:val="16"/>
        </w:rPr>
        <w:t xml:space="preserve">  (2547 s.K. md. 16/b son fıkra; Akademik Teşkilat Yön. md. 8/b)</w:t>
      </w:r>
    </w:p>
    <w:p>
      <w:pPr>
        <w:pStyle w:val="ListParagraph"/>
        <w:numPr>
          <w:ilvl w:val="0"/>
          <w:numId w:val="4"/>
        </w:numPr>
        <w:spacing w:after="70" w:line="276"/>
        <w:jc w:val="both"/>
      </w:pPr>
      <w:r>
        <w:rPr>
          <w:rFonts w:ascii="Times New Roman" w:cs="Times New Roman" w:eastAsia="Times New Roman" w:hAnsi="Times New Roman"/>
          <w:sz w:val="22"/>
          <w:szCs w:val="22"/>
        </w:rPr>
        <w:t xml:space="preserve">Amir sıfatıyla; maiyetindeki memurların görevlerini zamanında ve eksiksiz yapmasını sağlamaktan, onları yetiştirmekten, hal ve hareketlerini takip ve kontrol etmekten ve kendilerine hakkaniyet ve eşitlik içinde davranmaktan sorumludur.</w:t>
      </w:r>
      <w:r>
        <w:rPr>
          <w:rFonts w:ascii="Times New Roman" w:cs="Times New Roman" w:eastAsia="Times New Roman" w:hAnsi="Times New Roman"/>
          <w:i/>
          <w:iCs/>
          <w:color w:val="7F7F7F"/>
          <w:sz w:val="16"/>
          <w:szCs w:val="16"/>
        </w:rPr>
        <w:t xml:space="preserve">  (657 s.K. md. 10)</w:t>
      </w:r>
    </w:p>
    <w:p>
      <w:pPr>
        <w:pStyle w:val="ListParagraph"/>
        <w:numPr>
          <w:ilvl w:val="0"/>
          <w:numId w:val="4"/>
        </w:numPr>
        <w:spacing w:after="70" w:line="276"/>
        <w:jc w:val="both"/>
      </w:pPr>
      <w:r>
        <w:rPr>
          <w:rFonts w:ascii="Times New Roman" w:cs="Times New Roman" w:eastAsia="Times New Roman" w:hAnsi="Times New Roman"/>
          <w:sz w:val="22"/>
          <w:szCs w:val="22"/>
        </w:rPr>
        <w:t xml:space="preserve">Görevini Anayasa ve kanunlara sadakat, tarafsızlık, gizlilik ve kamu yararı ilkeleri çerçevesinde yürütmekten sorumludur.</w:t>
      </w:r>
      <w:r>
        <w:rPr>
          <w:rFonts w:ascii="Times New Roman" w:cs="Times New Roman" w:eastAsia="Times New Roman" w:hAnsi="Times New Roman"/>
          <w:i/>
          <w:iCs/>
          <w:color w:val="7F7F7F"/>
          <w:sz w:val="16"/>
          <w:szCs w:val="16"/>
        </w:rPr>
        <w:t xml:space="preserve">  (657 s.K. md. 6, md. 8)</w:t>
      </w:r>
    </w:p>
    <w:p>
      <w:pPr>
        <w:pStyle w:val="ListParagraph"/>
        <w:numPr>
          <w:ilvl w:val="0"/>
          <w:numId w:val="4"/>
        </w:numPr>
        <w:spacing w:after="70" w:line="276"/>
        <w:jc w:val="both"/>
      </w:pPr>
      <w:r>
        <w:rPr>
          <w:rFonts w:ascii="Times New Roman" w:cs="Times New Roman" w:eastAsia="Times New Roman" w:hAnsi="Times New Roman"/>
          <w:sz w:val="22"/>
          <w:szCs w:val="22"/>
        </w:rPr>
        <w:t xml:space="preserve">Harcama yetkilisi olarak harcama talimatlarının bütçe ilke ve esasları ile mevzuata uygunluğundan ve ödeneklerin etkin, ekonomik ve verimli kullanımından sorumludur.</w:t>
      </w:r>
      <w:r>
        <w:rPr>
          <w:rFonts w:ascii="Times New Roman" w:cs="Times New Roman" w:eastAsia="Times New Roman" w:hAnsi="Times New Roman"/>
          <w:i/>
          <w:iCs/>
          <w:color w:val="7F7F7F"/>
          <w:sz w:val="16"/>
          <w:szCs w:val="16"/>
        </w:rPr>
        <w:t xml:space="preserve">  (5018 s.K. md. 32)</w:t>
      </w:r>
    </w:p>
    <w:p>
      <w:pPr>
        <w:pStyle w:val="ListParagraph"/>
        <w:numPr>
          <w:ilvl w:val="0"/>
          <w:numId w:val="4"/>
        </w:numPr>
        <w:spacing w:after="70" w:line="276"/>
        <w:jc w:val="both"/>
      </w:pPr>
      <w:r>
        <w:rPr>
          <w:rFonts w:ascii="Times New Roman" w:cs="Times New Roman" w:eastAsia="Times New Roman" w:hAnsi="Times New Roman"/>
          <w:sz w:val="22"/>
          <w:szCs w:val="22"/>
        </w:rPr>
        <w:t xml:space="preserve">Kalite Yönetim Sistemi'nin enstitü genelinde benimsenmesi, uygulanması ve etkinliğinin sürdürülmesinden sorumludur.</w:t>
      </w:r>
      <w:r>
        <w:rPr>
          <w:rFonts w:ascii="Times New Roman" w:cs="Times New Roman" w:eastAsia="Times New Roman" w:hAnsi="Times New Roman"/>
          <w:i/>
          <w:iCs/>
          <w:color w:val="7F7F7F"/>
          <w:sz w:val="16"/>
          <w:szCs w:val="16"/>
        </w:rPr>
        <w:t xml:space="preserve">  (TS EN ISO 9001:2015)</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4. NİTELİKLER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Öğrenim / Unvan</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2547 sayılı Kanun kapsamında öğretim üyesi (Profesör, Doçent veya Doktor Öğretim Üyesi) olmak. Kanun'un 19. maddesi, enstitü müdürlüğü için (dekanlıktan farklı olarak) belirli bir akademik unvan şartı öngörmez.</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Atama Koşulu</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Üç yıl için Rektör tarafından atanmış olmak (rektörlüğe bağlı enstitülerde doğrudan Rektör tarafından). (2547 s.K. md. 19/b)</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Mevzuat Bilgisi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Yükseköğretim mevzuatı, lisansüstü eğitim-öğretim mevzuatı, kamu personel mevzuatı (657 s.K.) ve kamu mali yönetimi mevzuatına (5018 s.K.) hakim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Yetkinlikler</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Yöneticilik, stratejik planlama, koordinasyon, temsil, iletişim, ekip yönetimi ve karar verme becerisine sahip olmak.</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5. İLGİLİ MEVZUAT</w:t>
      </w:r>
    </w:p>
    <w:p>
      <w:pPr>
        <w:pStyle w:val="ListParagraph"/>
        <w:numPr>
          <w:ilvl w:val="0"/>
          <w:numId w:val="5"/>
        </w:numPr>
        <w:spacing w:after="70" w:line="276"/>
        <w:jc w:val="both"/>
      </w:pPr>
      <w:r>
        <w:rPr>
          <w:rFonts w:ascii="Times New Roman" w:cs="Times New Roman" w:eastAsia="Times New Roman" w:hAnsi="Times New Roman"/>
          <w:sz w:val="22"/>
          <w:szCs w:val="22"/>
        </w:rPr>
        <w:t xml:space="preserve">2547 sayılı Yükseköğretim Kanunu (özellikle md. 16 ve md. 19)</w:t>
      </w:r>
    </w:p>
    <w:p>
      <w:pPr>
        <w:pStyle w:val="ListParagraph"/>
        <w:numPr>
          <w:ilvl w:val="0"/>
          <w:numId w:val="5"/>
        </w:numPr>
        <w:spacing w:after="70" w:line="276"/>
        <w:jc w:val="both"/>
      </w:pPr>
      <w:r>
        <w:rPr>
          <w:rFonts w:ascii="Times New Roman" w:cs="Times New Roman" w:eastAsia="Times New Roman" w:hAnsi="Times New Roman"/>
          <w:sz w:val="22"/>
          <w:szCs w:val="22"/>
        </w:rPr>
        <w:t xml:space="preserve">Üniversitelerde Akademik Teşkilat Yönetmeliği (özellikle md. 8 ve md. 11)</w:t>
      </w:r>
    </w:p>
    <w:p>
      <w:pPr>
        <w:pStyle w:val="ListParagraph"/>
        <w:numPr>
          <w:ilvl w:val="0"/>
          <w:numId w:val="5"/>
        </w:numPr>
        <w:spacing w:after="70" w:line="276"/>
        <w:jc w:val="both"/>
      </w:pPr>
      <w:r>
        <w:rPr>
          <w:rFonts w:ascii="Times New Roman" w:cs="Times New Roman" w:eastAsia="Times New Roman" w:hAnsi="Times New Roman"/>
          <w:sz w:val="22"/>
          <w:szCs w:val="22"/>
        </w:rPr>
        <w:t xml:space="preserve">2914 sayılı Yükseköğretim Personel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657 sayılı Devlet Memurları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5018 sayılı Kamu Mali Yönetimi ve Kontrol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Lisansüstü Eğitim ve Öğretim Yönetmeliği</w:t>
      </w:r>
    </w:p>
    <w:p>
      <w:pPr>
        <w:pStyle w:val="ListParagraph"/>
        <w:numPr>
          <w:ilvl w:val="0"/>
          <w:numId w:val="5"/>
        </w:numPr>
        <w:spacing w:after="70" w:line="276"/>
        <w:jc w:val="both"/>
      </w:pPr>
      <w:r>
        <w:rPr>
          <w:rFonts w:ascii="Times New Roman" w:cs="Times New Roman" w:eastAsia="Times New Roman" w:hAnsi="Times New Roman"/>
          <w:sz w:val="22"/>
          <w:szCs w:val="22"/>
        </w:rPr>
        <w:t xml:space="preserve">Burdur Mehmet Akif Ersoy Üniversitesi Lisansüstü Eğitim-Öğretim ve Sınav Yönergesi</w:t>
      </w:r>
    </w:p>
    <w:p>
      <w:pPr>
        <w:pStyle w:val="ListParagraph"/>
        <w:numPr>
          <w:ilvl w:val="0"/>
          <w:numId w:val="5"/>
        </w:numPr>
        <w:spacing w:after="70" w:line="276"/>
        <w:jc w:val="both"/>
      </w:pPr>
      <w:r>
        <w:rPr>
          <w:rFonts w:ascii="Times New Roman" w:cs="Times New Roman" w:eastAsia="Times New Roman" w:hAnsi="Times New Roman"/>
          <w:sz w:val="22"/>
          <w:szCs w:val="22"/>
        </w:rPr>
        <w:t xml:space="preserve">TS EN ISO 9001:2015 Kalite Yönetim Sistemi Standardı</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6. ONAY</w:t>
      </w:r>
    </w:p>
    <w:p>
      <w:pPr>
        <w:spacing w:after="160" w:line="276"/>
        <w:jc w:val="both"/>
      </w:pPr>
      <w:r>
        <w:rPr>
          <w:rFonts w:ascii="Times New Roman" w:cs="Times New Roman" w:eastAsia="Times New Roman" w:hAnsi="Times New Roman"/>
          <w:sz w:val="22"/>
          <w:szCs w:val="22"/>
        </w:rPr>
        <w:t xml:space="preserve">İşbu görev tanımı, aşağıda imzası bulunan yetkililerce hazırlanmış, kontrol edilmiş ve onaylanmıştır.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HAZIRLAYAN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KONTROL EDEN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ONAYLAYAN</w:t>
            </w:r>
          </w:p>
        </w:tc>
      </w:tr>
      <w:tr>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Kalite Birim Sorumlusu</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Sekreteri</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Müdürü</w:t>
            </w:r>
          </w:p>
        </w:tc>
      </w:tr>
      <w:tr>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r>
    </w:tbl>
    <w:sectPr>
      <w:headerReference w:type="default" r:id="rId7"/>
      <w:footerReference w:type="default" r:id="rId8"/>
      <w:pgSz w:w="12240" w:h="15840" w:orient="portrait"/>
      <w:pgMar w:top="2200" w:right="1440" w:bottom="1300" w:left="1440" w:header="720" w:footer="60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392668" w:sz="6" w:space="4"/>
      </w:pBdr>
      <w:spacing w:after="0" w:before="40"/>
      <w:jc w:val="center"/>
    </w:pPr>
    <w:r>
      <w:rPr>
        <w:rFonts w:ascii="Times New Roman" w:cs="Times New Roman" w:eastAsia="Times New Roman" w:hAnsi="Times New Roman"/>
        <w:color w:val="392668"/>
        <w:sz w:val="16"/>
        <w:szCs w:val="16"/>
      </w:rPr>
      <w:t xml:space="preserve">Burdur Mehmet Akif Ersoy Üniversitesi - Sağlık Bilimleri Enstitüsü</w:t>
    </w:r>
  </w:p>
  <w:p>
    <w:pPr>
      <w:spacing w:after="0" w:before="0"/>
      <w:jc w:val="center"/>
    </w:pPr>
    <w:r>
      <w:rPr>
        <w:rFonts w:ascii="Times New Roman" w:cs="Times New Roman" w:eastAsia="Times New Roman" w:hAnsi="Times New Roman"/>
        <w:sz w:val="16"/>
        <w:szCs w:val="16"/>
      </w:rPr>
      <w:t xml:space="preserve">e-posta: sagbil@mehmetakif.edu.tr  •  Tel: 0 (248) 213 31 80  •  Web: sagbil.mehmetakif.edu.tr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40"/>
      <w:gridCol w:w="4900"/>
      <w:gridCol w:w="3120"/>
    </w:tblGrid>
    <w:tr>
      <w:tc>
        <w:tcPr>
          <w:tcW w:type="dxa" w:w="1340"/>
          <w:tcBorders>
            <w:top w:val="single" w:color="BFBFBF" w:sz="4"/>
            <w:left w:val="single" w:color="BFBFBF" w:sz="4"/>
            <w:bottom w:val="single" w:color="BFBFBF" w:sz="4"/>
            <w:right w:val="single" w:color="BFBFBF" w:sz="4"/>
          </w:tcBorders>
          <w:tcMar>
            <w:top w:type="dxa" w:w="40"/>
            <w:left w:type="dxa" w:w="40"/>
            <w:bottom w:type="dxa" w:w="40"/>
            <w:right w:type="dxa" w:w="40"/>
          </w:tcMar>
          <w:vAlign w:val="center"/>
        </w:tcPr>
        <w:p>
          <w:pPr>
            <w:jc w:val="center"/>
          </w:pPr>
          <w:r>
            <w:drawing>
              <wp:inline distT="0" distB="0" distL="0" distR="0">
                <wp:extent cx="609600" cy="609600"/>
                <wp:effectExtent t="0" r="0" b="0" l="0"/>
                <wp:docPr id="1" name="Logo" descr="MAKU EBE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09600" cy="609600"/>
                        </a:xfrm>
                        <a:prstGeom prst="rect">
                          <a:avLst/>
                        </a:prstGeom>
                      </pic:spPr>
                    </pic:pic>
                  </a:graphicData>
                </a:graphic>
              </wp:inline>
            </w:drawing>
          </w:r>
        </w:p>
      </w:tc>
      <w:tc>
        <w:tcPr>
          <w:tcW w:type="dxa" w:w="4900"/>
          <w:tcBorders>
            <w:top w:val="single" w:color="BFBFBF" w:sz="4"/>
            <w:left w:val="single" w:color="BFBFBF" w:sz="4"/>
            <w:bottom w:val="single" w:color="BFBFBF" w:sz="4"/>
            <w:right w:val="single" w:color="BFBFBF" w:sz="4"/>
          </w:tcBorders>
          <w:tcMar>
            <w:top w:type="dxa" w:w="40"/>
            <w:left w:type="dxa" w:w="80"/>
            <w:bottom w:type="dxa" w:w="40"/>
            <w:right w:type="dxa" w:w="80"/>
          </w:tcMar>
          <w:vAlign w:val="center"/>
        </w:tcPr>
        <w:p>
          <w:pPr>
            <w:spacing w:after="0"/>
            <w:jc w:val="center"/>
          </w:pPr>
          <w:r>
            <w:rPr>
              <w:rFonts w:ascii="Times New Roman" w:cs="Times New Roman" w:eastAsia="Times New Roman" w:hAnsi="Times New Roman"/>
              <w:b/>
              <w:bCs/>
              <w:color w:val="392668"/>
              <w:sz w:val="18"/>
              <w:szCs w:val="18"/>
            </w:rPr>
            <w:t xml:space="preserve">T.C.</w:t>
          </w:r>
        </w:p>
        <w:p>
          <w:pPr>
            <w:spacing w:after="0"/>
            <w:jc w:val="center"/>
          </w:pPr>
          <w:r>
            <w:rPr>
              <w:rFonts w:ascii="Times New Roman" w:cs="Times New Roman" w:eastAsia="Times New Roman" w:hAnsi="Times New Roman"/>
              <w:b/>
              <w:bCs/>
              <w:color w:val="392668"/>
              <w:sz w:val="18"/>
              <w:szCs w:val="18"/>
            </w:rPr>
            <w:t xml:space="preserve">BURDUR MEHMET AKİF ERSOY ÜNİVERSİTESİ</w:t>
          </w:r>
        </w:p>
        <w:p>
          <w:pPr>
            <w:spacing w:after="20"/>
            <w:jc w:val="center"/>
          </w:pPr>
          <w:r>
            <w:rPr>
              <w:rFonts w:ascii="Times New Roman" w:cs="Times New Roman" w:eastAsia="Times New Roman" w:hAnsi="Times New Roman"/>
              <w:b/>
              <w:bCs/>
              <w:color w:val="392668"/>
              <w:sz w:val="18"/>
              <w:szCs w:val="18"/>
            </w:rPr>
            <w:t xml:space="preserve">SAĞLIK BİLİMLERİ ENSTİTÜSÜ</w:t>
          </w:r>
        </w:p>
        <w:p>
          <w:pPr>
            <w:spacing w:after="0"/>
            <w:jc w:val="center"/>
          </w:pPr>
          <w:r>
            <w:rPr>
              <w:rFonts w:ascii="Times New Roman" w:cs="Times New Roman" w:eastAsia="Times New Roman" w:hAnsi="Times New Roman"/>
              <w:b/>
              <w:bCs/>
              <w:color w:val="E40139"/>
              <w:sz w:val="20"/>
              <w:szCs w:val="20"/>
            </w:rPr>
            <w:t xml:space="preserve">ENSTİTÜ MÜDÜRÜ GÖREV TANIMI</w:t>
          </w:r>
        </w:p>
      </w:tc>
      <w:tc>
        <w:tcPr>
          <w:tcW w:type="dxa" w:w="3120"/>
          <w:tcBorders>
            <w:top w:val="single" w:color="BFBFBF" w:sz="4"/>
            <w:left w:val="single" w:color="BFBFBF" w:sz="4"/>
            <w:bottom w:val="single" w:color="BFBFBF" w:sz="4"/>
            <w:right w:val="single" w:color="BFBFBF" w:sz="4"/>
          </w:tcBorders>
          <w:tcMar>
            <w:top w:type="dxa" w:w="0"/>
            <w:left w:type="dxa" w:w="0"/>
            <w:bottom w:type="dxa" w:w="0"/>
            <w:right w:type="dxa" w:w="0"/>
          </w:tcMar>
        </w:tcPr>
        <w:tbl>
          <w:tblPr>
            <w:tblW w:type="dxa" w:w="3120"/>
            <w:tblBorders>
              <w:top w:val="single" w:color="auto" w:sz="4"/>
              <w:left w:val="single" w:color="auto" w:sz="4"/>
              <w:bottom w:val="single" w:color="auto" w:sz="4"/>
              <w:right w:val="single" w:color="auto" w:sz="4"/>
              <w:insideH w:val="single" w:color="auto" w:sz="4"/>
              <w:insideV w:val="single" w:color="auto" w:sz="4"/>
            </w:tblBorders>
          </w:tblPr>
          <w:tblGrid>
            <w:gridCol w:w="1500"/>
            <w:gridCol w:w="1620"/>
          </w:tblGrid>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Doküman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GT-001</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Yayın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18.06.2026</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00</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Sayfa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fldChar w:fldCharType="begin"/>
                  <w:instrText xml:space="preserve">PAGE</w:instrText>
                  <w:fldChar w:fldCharType="separate"/>
                  <w:fldChar w:fldCharType="end"/>
                </w:r>
                <w:r>
                  <w:rPr>
                    <w:rFonts w:ascii="Times New Roman" w:cs="Times New Roman" w:eastAsia="Times New Roman" w:hAnsi="Times New Roman"/>
                    <w:sz w:val="16"/>
                    <w:szCs w:val="16"/>
                  </w:rPr>
                  <w:t xml:space="preserve"> / </w:t>
                </w:r>
                <w:r>
                  <w:rPr>
                    <w:rFonts w:ascii="Times New Roman" w:cs="Times New Roman" w:eastAsia="Times New Roman" w:hAnsi="Times New Roman"/>
                    <w:sz w:val="16"/>
                    <w:szCs w:val="16"/>
                  </w:rPr>
                  <w:fldChar w:fldCharType="begin"/>
                  <w:instrText xml:space="preserve">NUMPAGES</w:instrText>
                  <w:fldChar w:fldCharType="separate"/>
                  <w:fldChar w:fldCharType="end"/>
                </w:r>
              </w:p>
            </w:tc>
          </w:tr>
        </w:tbl>
        <w:p/>
      </w:tc>
    </w:tr>
  </w:tbl>
  <w:p>
    <w:pPr>
      <w:spacing w:after="60"/>
    </w:pPr>
    <w:r>
      <w:rPr>
        <w:rFonts w:ascii="Times New Roman" w:cs="Times New Roman" w:eastAsia="Times New Roman" w:hAnsi="Times New Roman"/>
        <w:sz w:val="8"/>
        <w:szCs w:val="8"/>
      </w:rP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3"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4"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5"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926bc702bab84fa380e74bd934c08e1088a9b9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Öğr. Üyesi Veysel DAL</dc:creator>
  <dcterms:created xsi:type="dcterms:W3CDTF">2026-06-09T10:31:29Z</dcterms:created>
  <dcterms:modified xsi:type="dcterms:W3CDTF">2026-06-09T10:31:29Z</dcterms:modified>
</cp:coreProperties>
</file>

<file path=docProps/custom.xml><?xml version="1.0" encoding="utf-8"?>
<Properties xmlns="http://schemas.openxmlformats.org/officeDocument/2006/custom-properties" xmlns:vt="http://schemas.openxmlformats.org/officeDocument/2006/docPropsVTypes"/>
</file>