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E40139" w:sz="8" w:space="2"/>
        </w:pBdr>
        <w:spacing w:after="120" w:before="240"/>
      </w:pPr>
      <w:r>
        <w:rPr>
          <w:rFonts w:ascii="Times New Roman" w:cs="Times New Roman" w:eastAsia="Times New Roman" w:hAnsi="Times New Roman"/>
          <w:b/>
          <w:bCs/>
          <w:color w:val="392668"/>
          <w:sz w:val="24"/>
          <w:szCs w:val="24"/>
        </w:rPr>
        <w:t xml:space="preserve">1. POZİSYON BİLGİLERİ</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Birim</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Sağlık Bilimleri Enstitüsü - Öğrenci İşleri</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Görev Unvanı</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Öğrenci İşleri Sorumlusu</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Kadro / Statü</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657 sayılı Kanun'a tabi devlet memuru</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Bağlı Olduğu Makam</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Enstitü Sekreteri (ve onun aracılığıyla Enstitü Müdürü)</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Birim Dayanağı</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Öğrenci işleri, enstitü idari teşkilatı içinde yer alan bir birimdir. (124 s. KHK md. 39)</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Vekalet</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Enstitü Sekreteri tarafından görevlendirilecek personel vekalet eder.</w:t>
            </w:r>
          </w:p>
        </w:tc>
      </w:tr>
    </w:tbl>
    <w:p>
      <w:pPr>
        <w:pBdr>
          <w:bottom w:val="single" w:color="E40139" w:sz="8" w:space="2"/>
        </w:pBdr>
        <w:spacing w:after="120" w:before="240"/>
      </w:pPr>
      <w:r>
        <w:rPr>
          <w:rFonts w:ascii="Times New Roman" w:cs="Times New Roman" w:eastAsia="Times New Roman" w:hAnsi="Times New Roman"/>
          <w:b/>
          <w:bCs/>
          <w:color w:val="392668"/>
          <w:sz w:val="24"/>
          <w:szCs w:val="24"/>
        </w:rPr>
        <w:t xml:space="preserve">2. AMAÇ</w:t>
      </w:r>
    </w:p>
    <w:p>
      <w:pPr>
        <w:spacing w:after="120" w:line="276"/>
        <w:jc w:val="both"/>
      </w:pPr>
      <w:r>
        <w:rPr>
          <w:rFonts w:ascii="Times New Roman" w:cs="Times New Roman" w:eastAsia="Times New Roman" w:hAnsi="Times New Roman"/>
          <w:sz w:val="22"/>
          <w:szCs w:val="22"/>
        </w:rPr>
        <w:t xml:space="preserve">Bu görev tanımının amacı; Sağlık Bilimleri Enstitüsü Öğrenci İşleri Sorumlusu'nun görev, yetki ve sorumluluklarını başta 2547 sayılı Yükseköğretim Kanunu, 657 sayılı Devlet Memurları Kanunu, Lisansüstü Eğitim ve Öğretim Yönetmeliği ve 6698 sayılı Kişisel Verilerin Korunması Kanunu olmak üzere ilgili mevzuat ile Kalite Yönetim Sistemi gerekliliklerine uygun olarak tanımlamak; enstitü lisansüstü öğrenci işlemlerinin doğru, zamanında ve gizliliğe uygun biçimde yürütülmesini sağlamaktır.</w:t>
      </w:r>
    </w:p>
    <w:p>
      <w:pPr>
        <w:pBdr>
          <w:bottom w:val="single" w:color="E40139" w:sz="8" w:space="2"/>
        </w:pBdr>
        <w:spacing w:after="120" w:before="240"/>
      </w:pPr>
      <w:r>
        <w:rPr>
          <w:rFonts w:ascii="Times New Roman" w:cs="Times New Roman" w:eastAsia="Times New Roman" w:hAnsi="Times New Roman"/>
          <w:b/>
          <w:bCs/>
          <w:color w:val="392668"/>
          <w:sz w:val="24"/>
          <w:szCs w:val="24"/>
        </w:rPr>
        <w:t xml:space="preserve">3. GÖREV, YETKİ VE SORUMLULUKLAR</w:t>
      </w:r>
    </w:p>
    <w:p>
      <w:pPr>
        <w:spacing w:after="80" w:before="140"/>
      </w:pPr>
      <w:r>
        <w:rPr>
          <w:rFonts w:ascii="Times New Roman" w:cs="Times New Roman" w:eastAsia="Times New Roman" w:hAnsi="Times New Roman"/>
          <w:b/>
          <w:bCs/>
          <w:color w:val="392668"/>
          <w:sz w:val="22"/>
          <w:szCs w:val="22"/>
        </w:rPr>
        <w:t xml:space="preserve">3.1. Görevleri</w:t>
      </w:r>
    </w:p>
    <w:p>
      <w:pPr>
        <w:pStyle w:val="ListParagraph"/>
        <w:numPr>
          <w:ilvl w:val="0"/>
          <w:numId w:val="2"/>
        </w:numPr>
        <w:spacing w:after="70" w:line="276"/>
        <w:jc w:val="both"/>
      </w:pPr>
      <w:r>
        <w:rPr>
          <w:rFonts w:ascii="Times New Roman" w:cs="Times New Roman" w:eastAsia="Times New Roman" w:hAnsi="Times New Roman"/>
          <w:sz w:val="22"/>
          <w:szCs w:val="22"/>
        </w:rPr>
        <w:t xml:space="preserve">Görev alanıyla ilgili mevzuatı bilmek, değişiklikleri takip etmek ve bilgisini güncel tutmak.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Akademik takvimde belirtilen öğrenci işleri görevlerini zamanında yerine getirmek.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Öğrenci alımına ilişkin ilan çalışmalarını yapmak; lisansüstü başvuru, kabul, ön/kesin kayıt ve kayıt yenileme işlemlerini ilgili mevzuata uygun yürütmek.</w:t>
      </w:r>
      <w:r>
        <w:rPr>
          <w:rFonts w:ascii="Times New Roman" w:cs="Times New Roman" w:eastAsia="Times New Roman" w:hAnsi="Times New Roman"/>
          <w:i/>
          <w:iCs/>
          <w:color w:val="7F7F7F"/>
          <w:sz w:val="16"/>
          <w:szCs w:val="16"/>
        </w:rPr>
        <w:t xml:space="preserve">  (Lisansüstü Eğitim ve Öğretim Yön.; Üniversite Lisansüstü Yönergesi)</w:t>
      </w:r>
    </w:p>
    <w:p>
      <w:pPr>
        <w:pStyle w:val="ListParagraph"/>
        <w:numPr>
          <w:ilvl w:val="0"/>
          <w:numId w:val="2"/>
        </w:numPr>
        <w:spacing w:after="70" w:line="276"/>
        <w:jc w:val="both"/>
      </w:pPr>
      <w:r>
        <w:rPr>
          <w:rFonts w:ascii="Times New Roman" w:cs="Times New Roman" w:eastAsia="Times New Roman" w:hAnsi="Times New Roman"/>
          <w:sz w:val="22"/>
          <w:szCs w:val="22"/>
        </w:rPr>
        <w:t xml:space="preserve">Ders kayıtları, ders ekleme-bırakma, muafiyet/intibak ve danışman onayı süreçlerini takip etmek ve sonuçlandırmak.</w:t>
      </w:r>
      <w:r>
        <w:rPr>
          <w:rFonts w:ascii="Times New Roman" w:cs="Times New Roman" w:eastAsia="Times New Roman" w:hAnsi="Times New Roman"/>
          <w:i/>
          <w:iCs/>
          <w:color w:val="7F7F7F"/>
          <w:sz w:val="16"/>
          <w:szCs w:val="16"/>
        </w:rPr>
        <w:t xml:space="preserve">  (Lisansüstü Eğitim ve Öğretim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Öğrenci Bilgi Sistemi ve YÖKSİS kayıtlarını güncel, doğru ve zamanında tutmak.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Sınav, not girişi, başarı durumu ve not döküm belgesi (transkript) işlemlerini takip etmek ve kontrol etmek.</w:t>
      </w:r>
      <w:r>
        <w:rPr>
          <w:rFonts w:ascii="Times New Roman" w:cs="Times New Roman" w:eastAsia="Times New Roman" w:hAnsi="Times New Roman"/>
          <w:i/>
          <w:iCs/>
          <w:color w:val="7F7F7F"/>
          <w:sz w:val="16"/>
          <w:szCs w:val="16"/>
        </w:rPr>
        <w:t xml:space="preserve">  (Lisansüstü Eğitim ve Öğretim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Tez danışmanı atama, tez konusu ve tez önerisi süreçlerinin takibini yapmak.</w:t>
      </w:r>
      <w:r>
        <w:rPr>
          <w:rFonts w:ascii="Times New Roman" w:cs="Times New Roman" w:eastAsia="Times New Roman" w:hAnsi="Times New Roman"/>
          <w:i/>
          <w:iCs/>
          <w:color w:val="7F7F7F"/>
          <w:sz w:val="16"/>
          <w:szCs w:val="16"/>
        </w:rPr>
        <w:t xml:space="preserve">  (Lisansüstü Eğitim ve Öğretim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Eğitim-öğretim süreleri sonunda tez teslimlerini ve tez jüri atamalarını kontrol etmek, tez savunmalarının yapılıp yapılmadığını takip etmek ve savunma tutanaklarını arşivlemek.</w:t>
      </w:r>
      <w:r>
        <w:rPr>
          <w:rFonts w:ascii="Times New Roman" w:cs="Times New Roman" w:eastAsia="Times New Roman" w:hAnsi="Times New Roman"/>
          <w:i/>
          <w:iCs/>
          <w:color w:val="7F7F7F"/>
          <w:sz w:val="16"/>
          <w:szCs w:val="16"/>
        </w:rPr>
        <w:t xml:space="preserve">  (Lisansüstü Eğitim ve Öğretim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Doktora öğrencilerinin yeterlik süreçlerini, tez izleme komitelerini ve altı aylık TİK raporlarının zamanında teslim edilip edilmediğini takip etmek.</w:t>
      </w:r>
      <w:r>
        <w:rPr>
          <w:rFonts w:ascii="Times New Roman" w:cs="Times New Roman" w:eastAsia="Times New Roman" w:hAnsi="Times New Roman"/>
          <w:i/>
          <w:iCs/>
          <w:color w:val="7F7F7F"/>
          <w:sz w:val="16"/>
          <w:szCs w:val="16"/>
        </w:rPr>
        <w:t xml:space="preserve">  (Lisansüstü Eğitim ve Öğretim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Kayıt silme, ek süre talebi, kayıt dondurma ve sağlık raporlarına ilişkin dosyaları Enstitü Yönetim Kuruluna sunulmak üzere hazırlamak.</w:t>
      </w:r>
      <w:r>
        <w:rPr>
          <w:rFonts w:ascii="Times New Roman" w:cs="Times New Roman" w:eastAsia="Times New Roman" w:hAnsi="Times New Roman"/>
          <w:i/>
          <w:iCs/>
          <w:color w:val="7F7F7F"/>
          <w:sz w:val="16"/>
          <w:szCs w:val="16"/>
        </w:rPr>
        <w:t xml:space="preserve">  (Lisansüstü Eğitim ve Öğretim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Özel öğrenci kabul ve durum takibi işlemlerini kontrol ederek yürütmek.</w:t>
      </w:r>
      <w:r>
        <w:rPr>
          <w:rFonts w:ascii="Times New Roman" w:cs="Times New Roman" w:eastAsia="Times New Roman" w:hAnsi="Times New Roman"/>
          <w:i/>
          <w:iCs/>
          <w:color w:val="7F7F7F"/>
          <w:sz w:val="16"/>
          <w:szCs w:val="16"/>
        </w:rPr>
        <w:t xml:space="preserve">  (Lisansüstü Eğitim ve Öğretim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Yatay geçiş, ders intibakı, tecil, ilişik kesme ve disiplin işlemlerine ilişkin yazışmaları hazırlamak.</w:t>
      </w:r>
      <w:r>
        <w:rPr>
          <w:rFonts w:ascii="Times New Roman" w:cs="Times New Roman" w:eastAsia="Times New Roman" w:hAnsi="Times New Roman"/>
          <w:i/>
          <w:iCs/>
          <w:color w:val="7F7F7F"/>
          <w:sz w:val="16"/>
          <w:szCs w:val="16"/>
        </w:rPr>
        <w:t xml:space="preserve">  (Lisansüstü Eğitim ve Öğretim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ERASMUS ve FARABİ değişim programları kapsamında giden ve gelen öğrencilerin iş ve işlemlerini yürütmek.</w:t>
      </w:r>
      <w:r>
        <w:rPr>
          <w:rFonts w:ascii="Times New Roman" w:cs="Times New Roman" w:eastAsia="Times New Roman" w:hAnsi="Times New Roman"/>
          <w:i/>
          <w:iCs/>
          <w:color w:val="7F7F7F"/>
          <w:sz w:val="16"/>
          <w:szCs w:val="16"/>
        </w:rPr>
        <w:t xml:space="preserve">  (Değişim Programları Yönergeleri)</w:t>
      </w:r>
    </w:p>
    <w:p>
      <w:pPr>
        <w:pStyle w:val="ListParagraph"/>
        <w:numPr>
          <w:ilvl w:val="0"/>
          <w:numId w:val="2"/>
        </w:numPr>
        <w:spacing w:after="70" w:line="276"/>
        <w:jc w:val="both"/>
      </w:pPr>
      <w:r>
        <w:rPr>
          <w:rFonts w:ascii="Times New Roman" w:cs="Times New Roman" w:eastAsia="Times New Roman" w:hAnsi="Times New Roman"/>
          <w:sz w:val="22"/>
          <w:szCs w:val="22"/>
        </w:rPr>
        <w:t xml:space="preserve">YÖK 100/2000 Doktora Bursu başvurularının alınması ve kayıt işlemlerine ilişkin yazışmaları yürütmek.</w:t>
      </w:r>
      <w:r>
        <w:rPr>
          <w:rFonts w:ascii="Times New Roman" w:cs="Times New Roman" w:eastAsia="Times New Roman" w:hAnsi="Times New Roman"/>
          <w:i/>
          <w:iCs/>
          <w:color w:val="7F7F7F"/>
          <w:sz w:val="16"/>
          <w:szCs w:val="16"/>
        </w:rPr>
        <w:t xml:space="preserve">  (YÖK 100/2000 Doktora Burs Programı)</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Enstitü öğrenci temsilciliği seçimi ve buna ilişkin işlemleri yürütmek.</w:t>
      </w:r>
      <w:r>
        <w:rPr>
          <w:rFonts w:ascii="Times New Roman" w:cs="Times New Roman" w:eastAsia="Times New Roman" w:hAnsi="Times New Roman"/>
          <w:i/>
          <w:iCs/>
          <w:color w:val="7F7F7F"/>
          <w:sz w:val="16"/>
          <w:szCs w:val="16"/>
        </w:rPr>
        <w:t xml:space="preserve">  (Öğrenci Konseyleri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Öğrenci belgesi, transkript, askerlik tecil-sevk işlemleri ile öğrenci dilekçelerine ilişkin belge ve cevapları hazırlamak.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Mezuniyet işlemlerini yürütmek; öğrencilere geçici mezuniyet belgelerini e-Devlet üzerinden alabileceklerine ilişkin bilgilendirme yapmak.</w:t>
      </w:r>
      <w:r>
        <w:rPr>
          <w:rFonts w:ascii="Times New Roman" w:cs="Times New Roman" w:eastAsia="Times New Roman" w:hAnsi="Times New Roman"/>
          <w:i/>
          <w:iCs/>
          <w:color w:val="7F7F7F"/>
          <w:sz w:val="16"/>
          <w:szCs w:val="16"/>
        </w:rPr>
        <w:t xml:space="preserve">  (Lisansüstü Eğitim ve Öğretim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Harç, katkı payı ve burs işlemlerini ilgili birimlerle koordine etmek.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Öğrencilerle ilgili duyuruları yapmak; öğrencilere mevzuat ve süreçler hakkında bilgi ve rehberlik sunmak.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Öğrenci işlerine ilişkin istatistik ve raporları hazırlayarak Enstitü Sekreterine sunmak.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Öğrenci dosyalarını ve birim evrakını mevzuata uygun biçimde düzenlemek ve arşivlemek.</w:t>
      </w:r>
      <w:r>
        <w:rPr>
          <w:rFonts w:ascii="Times New Roman" w:cs="Times New Roman" w:eastAsia="Times New Roman" w:hAnsi="Times New Roman"/>
          <w:i/>
          <w:iCs/>
          <w:color w:val="7F7F7F"/>
          <w:sz w:val="16"/>
          <w:szCs w:val="16"/>
        </w:rPr>
        <w:t xml:space="preserve">  (Devlet Arşiv Hizmetleri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İşlediği öğrenci kişisel verilerini mevzuata uygun olarak işlemek, korumak ve gizliliğini sağlamak.</w:t>
      </w:r>
      <w:r>
        <w:rPr>
          <w:rFonts w:ascii="Times New Roman" w:cs="Times New Roman" w:eastAsia="Times New Roman" w:hAnsi="Times New Roman"/>
          <w:i/>
          <w:iCs/>
          <w:color w:val="7F7F7F"/>
          <w:sz w:val="16"/>
          <w:szCs w:val="16"/>
        </w:rPr>
        <w:t xml:space="preserve">  (6698 s.K. (KVKK))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Kalite Yönetim Sistemi kapsamında öğrenci işleri süreçlerinin uygulanmasını ve sürekli iyileştirilmesini sağlamak.</w:t>
      </w:r>
      <w:r>
        <w:rPr>
          <w:rFonts w:ascii="Times New Roman" w:cs="Times New Roman" w:eastAsia="Times New Roman" w:hAnsi="Times New Roman"/>
          <w:i/>
          <w:iCs/>
          <w:color w:val="7F7F7F"/>
          <w:sz w:val="16"/>
          <w:szCs w:val="16"/>
        </w:rPr>
        <w:t xml:space="preserve">  (TS EN ISO 9001:2015)</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Enstitü Sekreteri tarafından verilen ve mevzuatla belirlenen diğer görevleri yapmak.</w:t>
      </w:r>
      <w:r>
        <w:rPr>
          <w:rFonts w:ascii="Times New Roman" w:cs="Times New Roman" w:eastAsia="Times New Roman" w:hAnsi="Times New Roman"/>
          <w:i/>
          <w:iCs/>
          <w:color w:val="7F7F7F"/>
          <w:sz w:val="16"/>
          <w:szCs w:val="16"/>
        </w:rPr>
        <w:t xml:space="preserve">  (657 s.K. md. 11)</w:t>
      </w:r>
    </w:p>
    <w:p>
      <w:pPr>
        <w:spacing w:after="80" w:before="140"/>
      </w:pPr>
      <w:r>
        <w:rPr>
          <w:rFonts w:ascii="Times New Roman" w:cs="Times New Roman" w:eastAsia="Times New Roman" w:hAnsi="Times New Roman"/>
          <w:b/>
          <w:bCs/>
          <w:color w:val="392668"/>
          <w:sz w:val="22"/>
          <w:szCs w:val="22"/>
        </w:rPr>
        <w:t xml:space="preserve">3.2. Yetkileri</w:t>
      </w:r>
    </w:p>
    <w:p>
      <w:pPr>
        <w:pStyle w:val="ListParagraph"/>
        <w:numPr>
          <w:ilvl w:val="0"/>
          <w:numId w:val="3"/>
        </w:numPr>
        <w:spacing w:after="70" w:line="276"/>
        <w:jc w:val="both"/>
      </w:pPr>
      <w:r>
        <w:rPr>
          <w:rFonts w:ascii="Times New Roman" w:cs="Times New Roman" w:eastAsia="Times New Roman" w:hAnsi="Times New Roman"/>
          <w:sz w:val="22"/>
          <w:szCs w:val="22"/>
        </w:rPr>
        <w:t xml:space="preserve">Yetkilendirildiği ölçüde Öğrenci Bilgi Sistemi ve YÖKSİS üzerinde işlem yapma yetkisi.</w:t>
      </w:r>
    </w:p>
    <w:p>
      <w:pPr>
        <w:pStyle w:val="ListParagraph"/>
        <w:numPr>
          <w:ilvl w:val="0"/>
          <w:numId w:val="3"/>
        </w:numPr>
        <w:spacing w:after="70" w:line="276"/>
        <w:jc w:val="both"/>
      </w:pPr>
      <w:r>
        <w:rPr>
          <w:rFonts w:ascii="Times New Roman" w:cs="Times New Roman" w:eastAsia="Times New Roman" w:hAnsi="Times New Roman"/>
          <w:sz w:val="22"/>
          <w:szCs w:val="22"/>
        </w:rPr>
        <w:t xml:space="preserve">Öğrenci belge ve yazılarını hazırlama ve paraf etme yetkisi (imza yetkisi Sekreter/Müdürdedir).</w:t>
      </w:r>
    </w:p>
    <w:p>
      <w:pPr>
        <w:pStyle w:val="ListParagraph"/>
        <w:numPr>
          <w:ilvl w:val="0"/>
          <w:numId w:val="3"/>
        </w:numPr>
        <w:spacing w:after="70" w:line="276"/>
        <w:jc w:val="both"/>
      </w:pPr>
      <w:r>
        <w:rPr>
          <w:rFonts w:ascii="Times New Roman" w:cs="Times New Roman" w:eastAsia="Times New Roman" w:hAnsi="Times New Roman"/>
          <w:sz w:val="22"/>
          <w:szCs w:val="22"/>
        </w:rPr>
        <w:t xml:space="preserve">Öğrenci işlemlerinde eksik/uygunsuz belgeleri iade etme ve tamamlanmasını isteme yetkisi.</w:t>
      </w:r>
    </w:p>
    <w:p>
      <w:pPr>
        <w:spacing w:after="80" w:before="140"/>
      </w:pPr>
      <w:r>
        <w:rPr>
          <w:rFonts w:ascii="Times New Roman" w:cs="Times New Roman" w:eastAsia="Times New Roman" w:hAnsi="Times New Roman"/>
          <w:b/>
          <w:bCs/>
          <w:color w:val="392668"/>
          <w:sz w:val="22"/>
          <w:szCs w:val="22"/>
        </w:rPr>
        <w:t xml:space="preserve">3.3. Sorumlulukları</w:t>
      </w:r>
    </w:p>
    <w:p>
      <w:pPr>
        <w:pStyle w:val="ListParagraph"/>
        <w:numPr>
          <w:ilvl w:val="0"/>
          <w:numId w:val="4"/>
        </w:numPr>
        <w:spacing w:after="70" w:line="276"/>
        <w:jc w:val="both"/>
      </w:pPr>
      <w:r>
        <w:rPr>
          <w:rFonts w:ascii="Times New Roman" w:cs="Times New Roman" w:eastAsia="Times New Roman" w:hAnsi="Times New Roman"/>
          <w:sz w:val="22"/>
          <w:szCs w:val="22"/>
        </w:rPr>
        <w:t xml:space="preserve">Öğrenci işlerine ilişkin görevlerini mevzuata uygun, doğru ve zamanında yürütmekten; görevlerinin iyi ve doğru yürütülmesinden Enstitü Sekreterine ve Müdüre karşı sorumludur.</w:t>
      </w:r>
      <w:r>
        <w:rPr>
          <w:rFonts w:ascii="Times New Roman" w:cs="Times New Roman" w:eastAsia="Times New Roman" w:hAnsi="Times New Roman"/>
          <w:i/>
          <w:iCs/>
          <w:color w:val="7F7F7F"/>
          <w:sz w:val="16"/>
          <w:szCs w:val="16"/>
        </w:rPr>
        <w:t xml:space="preserve">  (657 s.K. md. 11)</w:t>
      </w:r>
    </w:p>
    <w:p>
      <w:pPr>
        <w:pStyle w:val="ListParagraph"/>
        <w:numPr>
          <w:ilvl w:val="0"/>
          <w:numId w:val="4"/>
        </w:numPr>
        <w:spacing w:after="70" w:line="276"/>
        <w:jc w:val="both"/>
      </w:pPr>
      <w:r>
        <w:rPr>
          <w:rFonts w:ascii="Times New Roman" w:cs="Times New Roman" w:eastAsia="Times New Roman" w:hAnsi="Times New Roman"/>
          <w:sz w:val="22"/>
          <w:szCs w:val="22"/>
        </w:rPr>
        <w:t xml:space="preserve">Düzenlediği belge ve kayıtların doğruluğundan ve görevini gereken dikkat ve özenle yapmaktan sorumludur.</w:t>
      </w:r>
      <w:r>
        <w:rPr>
          <w:rFonts w:ascii="Times New Roman" w:cs="Times New Roman" w:eastAsia="Times New Roman" w:hAnsi="Times New Roman"/>
          <w:i/>
          <w:iCs/>
          <w:color w:val="7F7F7F"/>
          <w:sz w:val="16"/>
          <w:szCs w:val="16"/>
        </w:rPr>
        <w:t xml:space="preserve">  (657 s.K. md. 12)</w:t>
      </w:r>
    </w:p>
    <w:p>
      <w:pPr>
        <w:pStyle w:val="ListParagraph"/>
        <w:numPr>
          <w:ilvl w:val="0"/>
          <w:numId w:val="4"/>
        </w:numPr>
        <w:spacing w:after="70" w:line="276"/>
        <w:jc w:val="both"/>
      </w:pPr>
      <w:r>
        <w:rPr>
          <w:rFonts w:ascii="Times New Roman" w:cs="Times New Roman" w:eastAsia="Times New Roman" w:hAnsi="Times New Roman"/>
          <w:sz w:val="22"/>
          <w:szCs w:val="22"/>
        </w:rPr>
        <w:t xml:space="preserve">İşlediği öğrenci kişisel verilerinin hukuka uygun işlenmesinden, güvenliğinden ve gizliliğinden sorumludur.</w:t>
      </w:r>
      <w:r>
        <w:rPr>
          <w:rFonts w:ascii="Times New Roman" w:cs="Times New Roman" w:eastAsia="Times New Roman" w:hAnsi="Times New Roman"/>
          <w:i/>
          <w:iCs/>
          <w:color w:val="7F7F7F"/>
          <w:sz w:val="16"/>
          <w:szCs w:val="16"/>
        </w:rPr>
        <w:t xml:space="preserve">  (6698 s.K. (KVKK); 657 s.K. md. 6, md. 8)</w:t>
      </w:r>
    </w:p>
    <w:p>
      <w:pPr>
        <w:pStyle w:val="ListParagraph"/>
        <w:numPr>
          <w:ilvl w:val="0"/>
          <w:numId w:val="4"/>
        </w:numPr>
        <w:spacing w:after="70" w:line="276"/>
        <w:jc w:val="both"/>
      </w:pPr>
      <w:r>
        <w:rPr>
          <w:rFonts w:ascii="Times New Roman" w:cs="Times New Roman" w:eastAsia="Times New Roman" w:hAnsi="Times New Roman"/>
          <w:sz w:val="22"/>
          <w:szCs w:val="22"/>
        </w:rPr>
        <w:t xml:space="preserve">Kalite Yönetim Sistemi gereklerinin öğrenci işleri süreçlerinde uygulanmasından sorumludur.</w:t>
      </w:r>
      <w:r>
        <w:rPr>
          <w:rFonts w:ascii="Times New Roman" w:cs="Times New Roman" w:eastAsia="Times New Roman" w:hAnsi="Times New Roman"/>
          <w:i/>
          <w:iCs/>
          <w:color w:val="7F7F7F"/>
          <w:sz w:val="16"/>
          <w:szCs w:val="16"/>
        </w:rPr>
        <w:t xml:space="preserve">  (TS EN ISO 9001:2015)</w:t>
      </w:r>
    </w:p>
    <w:p>
      <w:pPr>
        <w:pBdr>
          <w:bottom w:val="single" w:color="E40139" w:sz="8" w:space="2"/>
        </w:pBdr>
        <w:spacing w:after="120" w:before="240"/>
      </w:pPr>
      <w:r>
        <w:rPr>
          <w:rFonts w:ascii="Times New Roman" w:cs="Times New Roman" w:eastAsia="Times New Roman" w:hAnsi="Times New Roman"/>
          <w:b/>
          <w:bCs/>
          <w:color w:val="392668"/>
          <w:sz w:val="24"/>
          <w:szCs w:val="24"/>
        </w:rPr>
        <w:t xml:space="preserve">4. NİTELİKLER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Öğrenim Düzeyi</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 az lise; tercihen yükseköğretim (ön lisans/lisans) mezunu olmak.</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Kadro / Statü</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657 sayılı Kanun'a tabi devlet memuru olmak.</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Mevzuat Bilgisi</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Lisansüstü eğitim-öğretim mevzuatı, öğrenci işleri süreçleri, kişisel verilerin korunması (6698 s.K.) ve resmi yazışma esaslarına hakim olmak.</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Yetkinlikler</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Dikkat ve özen, kayıt-takip disiplini, bilgi sistemleri kullanımı, iletişim ve gizliliğe riayet becerisine sahip olmak.</w:t>
            </w:r>
          </w:p>
        </w:tc>
      </w:tr>
    </w:tbl>
    <w:p>
      <w:pPr>
        <w:pBdr>
          <w:bottom w:val="single" w:color="E40139" w:sz="8" w:space="2"/>
        </w:pBdr>
        <w:spacing w:after="120" w:before="240"/>
      </w:pPr>
      <w:r>
        <w:rPr>
          <w:rFonts w:ascii="Times New Roman" w:cs="Times New Roman" w:eastAsia="Times New Roman" w:hAnsi="Times New Roman"/>
          <w:b/>
          <w:bCs/>
          <w:color w:val="392668"/>
          <w:sz w:val="24"/>
          <w:szCs w:val="24"/>
        </w:rPr>
        <w:t xml:space="preserve">5. İLGİLİ MEVZUAT</w:t>
      </w:r>
    </w:p>
    <w:p>
      <w:pPr>
        <w:pStyle w:val="ListParagraph"/>
        <w:numPr>
          <w:ilvl w:val="0"/>
          <w:numId w:val="5"/>
        </w:numPr>
        <w:spacing w:after="70" w:line="276"/>
        <w:jc w:val="both"/>
      </w:pPr>
      <w:r>
        <w:rPr>
          <w:rFonts w:ascii="Times New Roman" w:cs="Times New Roman" w:eastAsia="Times New Roman" w:hAnsi="Times New Roman"/>
          <w:sz w:val="22"/>
          <w:szCs w:val="22"/>
        </w:rPr>
        <w:t xml:space="preserve">2547 sayılı Yükseköğretim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124 sayılı Yükseköğretim Üst Kuruluşları ile Yükseköğretim Kurumlarının İdari Teşkilatı Hakkında KHK (md. 39)</w:t>
      </w:r>
    </w:p>
    <w:p>
      <w:pPr>
        <w:pStyle w:val="ListParagraph"/>
        <w:numPr>
          <w:ilvl w:val="0"/>
          <w:numId w:val="5"/>
        </w:numPr>
        <w:spacing w:after="70" w:line="276"/>
        <w:jc w:val="both"/>
      </w:pPr>
      <w:r>
        <w:rPr>
          <w:rFonts w:ascii="Times New Roman" w:cs="Times New Roman" w:eastAsia="Times New Roman" w:hAnsi="Times New Roman"/>
          <w:sz w:val="22"/>
          <w:szCs w:val="22"/>
        </w:rPr>
        <w:t xml:space="preserve">657 sayılı Devlet Memurları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6698 sayılı Kişisel Verilerin Korunması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Lisansüstü Eğitim ve Öğretim Yönetmeliği</w:t>
      </w:r>
    </w:p>
    <w:p>
      <w:pPr>
        <w:pStyle w:val="ListParagraph"/>
        <w:numPr>
          <w:ilvl w:val="0"/>
          <w:numId w:val="5"/>
        </w:numPr>
        <w:spacing w:after="70" w:line="276"/>
        <w:jc w:val="both"/>
      </w:pPr>
      <w:r>
        <w:rPr>
          <w:rFonts w:ascii="Times New Roman" w:cs="Times New Roman" w:eastAsia="Times New Roman" w:hAnsi="Times New Roman"/>
          <w:sz w:val="22"/>
          <w:szCs w:val="22"/>
        </w:rPr>
        <w:t xml:space="preserve">Yükseköğretim Kurumları Öğrenci Konseyleri ve Yükseköğretim Kurumları Ulusal Öğrenci Konseyi Yönetmeliği</w:t>
      </w:r>
    </w:p>
    <w:p>
      <w:pPr>
        <w:pStyle w:val="ListParagraph"/>
        <w:numPr>
          <w:ilvl w:val="0"/>
          <w:numId w:val="5"/>
        </w:numPr>
        <w:spacing w:after="70" w:line="276"/>
        <w:jc w:val="both"/>
      </w:pPr>
      <w:r>
        <w:rPr>
          <w:rFonts w:ascii="Times New Roman" w:cs="Times New Roman" w:eastAsia="Times New Roman" w:hAnsi="Times New Roman"/>
          <w:sz w:val="22"/>
          <w:szCs w:val="22"/>
        </w:rPr>
        <w:t xml:space="preserve">Burdur Mehmet Akif Ersoy Üniversitesi Lisansüstü Eğitim-Öğretim ve Sınav Yönergesi</w:t>
      </w:r>
    </w:p>
    <w:p>
      <w:pPr>
        <w:pStyle w:val="ListParagraph"/>
        <w:numPr>
          <w:ilvl w:val="0"/>
          <w:numId w:val="5"/>
        </w:numPr>
        <w:spacing w:after="70" w:line="276"/>
        <w:jc w:val="both"/>
      </w:pPr>
      <w:r>
        <w:rPr>
          <w:rFonts w:ascii="Times New Roman" w:cs="Times New Roman" w:eastAsia="Times New Roman" w:hAnsi="Times New Roman"/>
          <w:sz w:val="22"/>
          <w:szCs w:val="22"/>
        </w:rPr>
        <w:t xml:space="preserve">Resmi Yazışmalarda Uygulanacak Usul ve Esaslar Hakkında Yönetmelik</w:t>
      </w:r>
    </w:p>
    <w:p>
      <w:pPr>
        <w:pStyle w:val="ListParagraph"/>
        <w:numPr>
          <w:ilvl w:val="0"/>
          <w:numId w:val="5"/>
        </w:numPr>
        <w:spacing w:after="70" w:line="276"/>
        <w:jc w:val="both"/>
      </w:pPr>
      <w:r>
        <w:rPr>
          <w:rFonts w:ascii="Times New Roman" w:cs="Times New Roman" w:eastAsia="Times New Roman" w:hAnsi="Times New Roman"/>
          <w:sz w:val="22"/>
          <w:szCs w:val="22"/>
        </w:rPr>
        <w:t xml:space="preserve">Devlet Arşiv Hizmetleri Hakkında Yönetmelik</w:t>
      </w:r>
    </w:p>
    <w:p>
      <w:pPr>
        <w:pStyle w:val="ListParagraph"/>
        <w:numPr>
          <w:ilvl w:val="0"/>
          <w:numId w:val="5"/>
        </w:numPr>
        <w:spacing w:after="70" w:line="276"/>
        <w:jc w:val="both"/>
      </w:pPr>
      <w:r>
        <w:rPr>
          <w:rFonts w:ascii="Times New Roman" w:cs="Times New Roman" w:eastAsia="Times New Roman" w:hAnsi="Times New Roman"/>
          <w:sz w:val="22"/>
          <w:szCs w:val="22"/>
        </w:rPr>
        <w:t xml:space="preserve">TS EN ISO 9001:2015 Kalite Yönetim Sistemi Standardı</w:t>
      </w:r>
    </w:p>
    <w:p>
      <w:pPr>
        <w:pBdr>
          <w:bottom w:val="single" w:color="E40139" w:sz="8" w:space="2"/>
        </w:pBdr>
        <w:spacing w:after="120" w:before="240"/>
      </w:pPr>
      <w:r>
        <w:rPr>
          <w:rFonts w:ascii="Times New Roman" w:cs="Times New Roman" w:eastAsia="Times New Roman" w:hAnsi="Times New Roman"/>
          <w:b/>
          <w:bCs/>
          <w:color w:val="392668"/>
          <w:sz w:val="24"/>
          <w:szCs w:val="24"/>
        </w:rPr>
        <w:t xml:space="preserve">6. ONAY</w:t>
      </w:r>
    </w:p>
    <w:p>
      <w:pPr>
        <w:spacing w:after="160" w:line="276"/>
        <w:jc w:val="both"/>
      </w:pPr>
      <w:r>
        <w:rPr>
          <w:rFonts w:ascii="Times New Roman" w:cs="Times New Roman" w:eastAsia="Times New Roman" w:hAnsi="Times New Roman"/>
          <w:sz w:val="22"/>
          <w:szCs w:val="22"/>
        </w:rPr>
        <w:t xml:space="preserve">İşbu görev tanımı, aşağıda imzası bulunan yetkililerce hazırlanmış, kontrol edilmiş ve onaylanmıştır.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BFBFBF" w:sz="4"/>
              <w:left w:val="single" w:color="BFBFBF" w:sz="4"/>
              <w:bottom w:val="single" w:color="BFBFBF" w:sz="4"/>
              <w:right w:val="single" w:color="BFBFBF" w:sz="4"/>
            </w:tcBorders>
            <w:shd w:fill="392668" w:val="clear"/>
            <w:tcMar>
              <w:top w:type="dxa" w:w="60"/>
              <w:left w:type="dxa" w:w="80"/>
              <w:bottom w:type="dxa" w:w="60"/>
              <w:right w:type="dxa" w:w="80"/>
            </w:tcMar>
          </w:tcPr>
          <w:p>
            <w:pPr>
              <w:jc w:val="center"/>
            </w:pPr>
            <w:r>
              <w:rPr>
                <w:rFonts w:ascii="Times New Roman" w:cs="Times New Roman" w:eastAsia="Times New Roman" w:hAnsi="Times New Roman"/>
                <w:b/>
                <w:bCs/>
                <w:color w:val="FFFFFF"/>
                <w:sz w:val="22"/>
                <w:szCs w:val="22"/>
              </w:rPr>
              <w:t xml:space="preserve">HAZIRLAYAN</w:t>
            </w:r>
          </w:p>
        </w:tc>
        <w:tc>
          <w:tcPr>
            <w:tcW w:type="dxa" w:w="3120"/>
            <w:tcBorders>
              <w:top w:val="single" w:color="BFBFBF" w:sz="4"/>
              <w:left w:val="single" w:color="BFBFBF" w:sz="4"/>
              <w:bottom w:val="single" w:color="BFBFBF" w:sz="4"/>
              <w:right w:val="single" w:color="BFBFBF" w:sz="4"/>
            </w:tcBorders>
            <w:shd w:fill="392668" w:val="clear"/>
            <w:tcMar>
              <w:top w:type="dxa" w:w="60"/>
              <w:left w:type="dxa" w:w="80"/>
              <w:bottom w:type="dxa" w:w="60"/>
              <w:right w:type="dxa" w:w="80"/>
            </w:tcMar>
          </w:tcPr>
          <w:p>
            <w:pPr>
              <w:jc w:val="center"/>
            </w:pPr>
            <w:r>
              <w:rPr>
                <w:rFonts w:ascii="Times New Roman" w:cs="Times New Roman" w:eastAsia="Times New Roman" w:hAnsi="Times New Roman"/>
                <w:b/>
                <w:bCs/>
                <w:color w:val="FFFFFF"/>
                <w:sz w:val="22"/>
                <w:szCs w:val="22"/>
              </w:rPr>
              <w:t xml:space="preserve">KONTROL EDEN</w:t>
            </w:r>
          </w:p>
        </w:tc>
        <w:tc>
          <w:tcPr>
            <w:tcW w:type="dxa" w:w="3120"/>
            <w:tcBorders>
              <w:top w:val="single" w:color="BFBFBF" w:sz="4"/>
              <w:left w:val="single" w:color="BFBFBF" w:sz="4"/>
              <w:bottom w:val="single" w:color="BFBFBF" w:sz="4"/>
              <w:right w:val="single" w:color="BFBFBF" w:sz="4"/>
            </w:tcBorders>
            <w:shd w:fill="392668" w:val="clear"/>
            <w:tcMar>
              <w:top w:type="dxa" w:w="60"/>
              <w:left w:type="dxa" w:w="80"/>
              <w:bottom w:type="dxa" w:w="60"/>
              <w:right w:type="dxa" w:w="80"/>
            </w:tcMar>
          </w:tcPr>
          <w:p>
            <w:pPr>
              <w:jc w:val="center"/>
            </w:pPr>
            <w:r>
              <w:rPr>
                <w:rFonts w:ascii="Times New Roman" w:cs="Times New Roman" w:eastAsia="Times New Roman" w:hAnsi="Times New Roman"/>
                <w:b/>
                <w:bCs/>
                <w:color w:val="FFFFFF"/>
                <w:sz w:val="22"/>
                <w:szCs w:val="22"/>
              </w:rPr>
              <w:t xml:space="preserve">ONAYLAYAN</w:t>
            </w:r>
          </w:p>
        </w:tc>
      </w:tr>
      <w:tr>
        <w:tc>
          <w:tcPr>
            <w:tcW w:type="dxa" w:w="3120"/>
            <w:tcBorders>
              <w:top w:val="single" w:color="BFBFBF" w:sz="4"/>
              <w:left w:val="single" w:color="BFBFBF" w:sz="4"/>
              <w:bottom w:val="single" w:color="BFBFBF" w:sz="4"/>
              <w:right w:val="single" w:color="BFBFBF" w:sz="4"/>
            </w:tcBorders>
            <w:shd w:fill="EDEBF4" w:val="clear"/>
            <w:tcMar>
              <w:top w:type="dxa" w:w="60"/>
              <w:left w:type="dxa" w:w="80"/>
              <w:bottom w:type="dxa" w:w="60"/>
              <w:right w:type="dxa" w:w="80"/>
            </w:tcMar>
          </w:tcPr>
          <w:p>
            <w:pPr>
              <w:jc w:val="center"/>
            </w:pPr>
            <w:r>
              <w:rPr>
                <w:rFonts w:ascii="Times New Roman" w:cs="Times New Roman" w:eastAsia="Times New Roman" w:hAnsi="Times New Roman"/>
                <w:b/>
                <w:bCs/>
                <w:color w:val="392668"/>
                <w:sz w:val="20"/>
                <w:szCs w:val="20"/>
              </w:rPr>
              <w:t xml:space="preserve">Kalite Birim Sorumlusu</w:t>
            </w:r>
          </w:p>
        </w:tc>
        <w:tc>
          <w:tcPr>
            <w:tcW w:type="dxa" w:w="3120"/>
            <w:tcBorders>
              <w:top w:val="single" w:color="BFBFBF" w:sz="4"/>
              <w:left w:val="single" w:color="BFBFBF" w:sz="4"/>
              <w:bottom w:val="single" w:color="BFBFBF" w:sz="4"/>
              <w:right w:val="single" w:color="BFBFBF" w:sz="4"/>
            </w:tcBorders>
            <w:shd w:fill="EDEBF4" w:val="clear"/>
            <w:tcMar>
              <w:top w:type="dxa" w:w="60"/>
              <w:left w:type="dxa" w:w="80"/>
              <w:bottom w:type="dxa" w:w="60"/>
              <w:right w:type="dxa" w:w="80"/>
            </w:tcMar>
          </w:tcPr>
          <w:p>
            <w:pPr>
              <w:jc w:val="center"/>
            </w:pPr>
            <w:r>
              <w:rPr>
                <w:rFonts w:ascii="Times New Roman" w:cs="Times New Roman" w:eastAsia="Times New Roman" w:hAnsi="Times New Roman"/>
                <w:b/>
                <w:bCs/>
                <w:color w:val="392668"/>
                <w:sz w:val="20"/>
                <w:szCs w:val="20"/>
              </w:rPr>
              <w:t xml:space="preserve">Enstitü Sekreteri</w:t>
            </w:r>
          </w:p>
        </w:tc>
        <w:tc>
          <w:tcPr>
            <w:tcW w:type="dxa" w:w="3120"/>
            <w:tcBorders>
              <w:top w:val="single" w:color="BFBFBF" w:sz="4"/>
              <w:left w:val="single" w:color="BFBFBF" w:sz="4"/>
              <w:bottom w:val="single" w:color="BFBFBF" w:sz="4"/>
              <w:right w:val="single" w:color="BFBFBF" w:sz="4"/>
            </w:tcBorders>
            <w:shd w:fill="EDEBF4" w:val="clear"/>
            <w:tcMar>
              <w:top w:type="dxa" w:w="60"/>
              <w:left w:type="dxa" w:w="80"/>
              <w:bottom w:type="dxa" w:w="60"/>
              <w:right w:type="dxa" w:w="80"/>
            </w:tcMar>
          </w:tcPr>
          <w:p>
            <w:pPr>
              <w:jc w:val="center"/>
            </w:pPr>
            <w:r>
              <w:rPr>
                <w:rFonts w:ascii="Times New Roman" w:cs="Times New Roman" w:eastAsia="Times New Roman" w:hAnsi="Times New Roman"/>
                <w:b/>
                <w:bCs/>
                <w:color w:val="392668"/>
                <w:sz w:val="20"/>
                <w:szCs w:val="20"/>
              </w:rPr>
              <w:t xml:space="preserve">Enstitü Müdürü</w:t>
            </w:r>
          </w:p>
        </w:tc>
      </w:tr>
      <w:tr>
        <w:tc>
          <w:tcPr>
            <w:tcW w:type="dxa" w:w="3120"/>
            <w:tcBorders>
              <w:top w:val="single" w:color="BFBFBF" w:sz="4"/>
              <w:left w:val="single" w:color="BFBFBF" w:sz="4"/>
              <w:bottom w:val="single" w:color="BFBFBF" w:sz="4"/>
              <w:right w:val="single" w:color="BFBFBF" w:sz="4"/>
            </w:tcBorders>
            <w:tcMar>
              <w:top w:type="dxa" w:w="60"/>
              <w:left w:type="dxa" w:w="80"/>
              <w:bottom w:type="dxa" w:w="60"/>
              <w:right w:type="dxa" w:w="80"/>
            </w:tcMar>
          </w:tcPr>
          <w:p>
            <w:pPr>
              <w:spacing w:after="240" w:before="240"/>
              <w:jc w:val="center"/>
            </w:pPr>
            <w:r>
              <w:rPr>
                <w:rFonts w:ascii="Times New Roman" w:cs="Times New Roman" w:eastAsia="Times New Roman" w:hAnsi="Times New Roman"/>
                <w:sz w:val="18"/>
                <w:szCs w:val="18"/>
              </w:rPr>
              <w:t xml:space="preserve"/>
            </w:r>
          </w:p>
          <w:p>
            <w:pPr>
              <w:jc w:val="center"/>
            </w:pPr>
            <w:r>
              <w:rPr>
                <w:rFonts w:ascii="Times New Roman" w:cs="Times New Roman" w:eastAsia="Times New Roman" w:hAnsi="Times New Roman"/>
                <w:i/>
                <w:iCs/>
                <w:color w:val="808080"/>
                <w:sz w:val="18"/>
                <w:szCs w:val="18"/>
              </w:rPr>
              <w:t xml:space="preserve">Ad Soyad</w:t>
            </w:r>
          </w:p>
          <w:p>
            <w:pPr>
              <w:jc w:val="center"/>
            </w:pPr>
            <w:r>
              <w:rPr>
                <w:rFonts w:ascii="Times New Roman" w:cs="Times New Roman" w:eastAsia="Times New Roman" w:hAnsi="Times New Roman"/>
                <w:i/>
                <w:iCs/>
                <w:color w:val="808080"/>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60"/>
              <w:left w:type="dxa" w:w="80"/>
              <w:bottom w:type="dxa" w:w="60"/>
              <w:right w:type="dxa" w:w="80"/>
            </w:tcMar>
          </w:tcPr>
          <w:p>
            <w:pPr>
              <w:spacing w:after="240" w:before="240"/>
              <w:jc w:val="center"/>
            </w:pPr>
            <w:r>
              <w:rPr>
                <w:rFonts w:ascii="Times New Roman" w:cs="Times New Roman" w:eastAsia="Times New Roman" w:hAnsi="Times New Roman"/>
                <w:sz w:val="18"/>
                <w:szCs w:val="18"/>
              </w:rPr>
              <w:t xml:space="preserve"/>
            </w:r>
          </w:p>
          <w:p>
            <w:pPr>
              <w:jc w:val="center"/>
            </w:pPr>
            <w:r>
              <w:rPr>
                <w:rFonts w:ascii="Times New Roman" w:cs="Times New Roman" w:eastAsia="Times New Roman" w:hAnsi="Times New Roman"/>
                <w:i/>
                <w:iCs/>
                <w:color w:val="808080"/>
                <w:sz w:val="18"/>
                <w:szCs w:val="18"/>
              </w:rPr>
              <w:t xml:space="preserve">Ad Soyad</w:t>
            </w:r>
          </w:p>
          <w:p>
            <w:pPr>
              <w:jc w:val="center"/>
            </w:pPr>
            <w:r>
              <w:rPr>
                <w:rFonts w:ascii="Times New Roman" w:cs="Times New Roman" w:eastAsia="Times New Roman" w:hAnsi="Times New Roman"/>
                <w:i/>
                <w:iCs/>
                <w:color w:val="808080"/>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60"/>
              <w:left w:type="dxa" w:w="80"/>
              <w:bottom w:type="dxa" w:w="60"/>
              <w:right w:type="dxa" w:w="80"/>
            </w:tcMar>
          </w:tcPr>
          <w:p>
            <w:pPr>
              <w:spacing w:after="240" w:before="240"/>
              <w:jc w:val="center"/>
            </w:pPr>
            <w:r>
              <w:rPr>
                <w:rFonts w:ascii="Times New Roman" w:cs="Times New Roman" w:eastAsia="Times New Roman" w:hAnsi="Times New Roman"/>
                <w:sz w:val="18"/>
                <w:szCs w:val="18"/>
              </w:rPr>
              <w:t xml:space="preserve"/>
            </w:r>
          </w:p>
          <w:p>
            <w:pPr>
              <w:jc w:val="center"/>
            </w:pPr>
            <w:r>
              <w:rPr>
                <w:rFonts w:ascii="Times New Roman" w:cs="Times New Roman" w:eastAsia="Times New Roman" w:hAnsi="Times New Roman"/>
                <w:i/>
                <w:iCs/>
                <w:color w:val="808080"/>
                <w:sz w:val="18"/>
                <w:szCs w:val="18"/>
              </w:rPr>
              <w:t xml:space="preserve">Ad Soyad</w:t>
            </w:r>
          </w:p>
          <w:p>
            <w:pPr>
              <w:jc w:val="center"/>
            </w:pPr>
            <w:r>
              <w:rPr>
                <w:rFonts w:ascii="Times New Roman" w:cs="Times New Roman" w:eastAsia="Times New Roman" w:hAnsi="Times New Roman"/>
                <w:i/>
                <w:iCs/>
                <w:color w:val="808080"/>
                <w:sz w:val="18"/>
                <w:szCs w:val="18"/>
              </w:rPr>
              <w:t xml:space="preserve">İmza / Tarih</w:t>
            </w:r>
          </w:p>
        </w:tc>
      </w:tr>
    </w:tbl>
    <w:sectPr>
      <w:headerReference w:type="default" r:id="rId7"/>
      <w:footerReference w:type="default" r:id="rId8"/>
      <w:pgSz w:w="12240" w:h="15840" w:orient="portrait"/>
      <w:pgMar w:top="2200" w:right="1440" w:bottom="1300" w:left="1440" w:header="720" w:footer="60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392668" w:sz="6" w:space="4"/>
      </w:pBdr>
      <w:spacing w:after="0" w:before="40"/>
      <w:jc w:val="center"/>
    </w:pPr>
    <w:r>
      <w:rPr>
        <w:rFonts w:ascii="Times New Roman" w:cs="Times New Roman" w:eastAsia="Times New Roman" w:hAnsi="Times New Roman"/>
        <w:color w:val="392668"/>
        <w:sz w:val="16"/>
        <w:szCs w:val="16"/>
      </w:rPr>
      <w:t xml:space="preserve">Burdur Mehmet Akif Ersoy Üniversitesi - Sağlık Bilimleri Enstitüsü</w:t>
    </w:r>
  </w:p>
  <w:p>
    <w:pPr>
      <w:spacing w:after="0" w:before="0"/>
      <w:jc w:val="center"/>
    </w:pPr>
    <w:r>
      <w:rPr>
        <w:rFonts w:ascii="Times New Roman" w:cs="Times New Roman" w:eastAsia="Times New Roman" w:hAnsi="Times New Roman"/>
        <w:sz w:val="16"/>
        <w:szCs w:val="16"/>
      </w:rPr>
      <w:t xml:space="preserve">e-posta: sagbil@mehmetakif.edu.tr  •  Tel: 0 (248) 213 31 80  •  Web: sagbil.mehmetakif.edu.tr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40"/>
      <w:gridCol w:w="4900"/>
      <w:gridCol w:w="3120"/>
    </w:tblGrid>
    <w:tr>
      <w:tc>
        <w:tcPr>
          <w:tcW w:type="dxa" w:w="1340"/>
          <w:tcBorders>
            <w:top w:val="single" w:color="BFBFBF" w:sz="4"/>
            <w:left w:val="single" w:color="BFBFBF" w:sz="4"/>
            <w:bottom w:val="single" w:color="BFBFBF" w:sz="4"/>
            <w:right w:val="single" w:color="BFBFBF" w:sz="4"/>
          </w:tcBorders>
          <w:tcMar>
            <w:top w:type="dxa" w:w="40"/>
            <w:left w:type="dxa" w:w="40"/>
            <w:bottom w:type="dxa" w:w="40"/>
            <w:right w:type="dxa" w:w="40"/>
          </w:tcMar>
          <w:vAlign w:val="center"/>
        </w:tcPr>
        <w:p>
          <w:pPr>
            <w:jc w:val="center"/>
          </w:pPr>
          <w:r>
            <w:drawing>
              <wp:inline distT="0" distB="0" distL="0" distR="0">
                <wp:extent cx="609600" cy="609600"/>
                <wp:effectExtent t="0" r="0" b="0" l="0"/>
                <wp:docPr id="1" name="Logo" descr="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609600" cy="609600"/>
                        </a:xfrm>
                        <a:prstGeom prst="rect">
                          <a:avLst/>
                        </a:prstGeom>
                      </pic:spPr>
                    </pic:pic>
                  </a:graphicData>
                </a:graphic>
              </wp:inline>
            </w:drawing>
          </w:r>
        </w:p>
      </w:tc>
      <w:tc>
        <w:tcPr>
          <w:tcW w:type="dxa" w:w="4900"/>
          <w:tcBorders>
            <w:top w:val="single" w:color="BFBFBF" w:sz="4"/>
            <w:left w:val="single" w:color="BFBFBF" w:sz="4"/>
            <w:bottom w:val="single" w:color="BFBFBF" w:sz="4"/>
            <w:right w:val="single" w:color="BFBFBF" w:sz="4"/>
          </w:tcBorders>
          <w:tcMar>
            <w:top w:type="dxa" w:w="40"/>
            <w:left w:type="dxa" w:w="80"/>
            <w:bottom w:type="dxa" w:w="40"/>
            <w:right w:type="dxa" w:w="80"/>
          </w:tcMar>
          <w:vAlign w:val="center"/>
        </w:tcPr>
        <w:p>
          <w:pPr>
            <w:spacing w:after="0"/>
            <w:jc w:val="center"/>
          </w:pPr>
          <w:r>
            <w:rPr>
              <w:rFonts w:ascii="Times New Roman" w:cs="Times New Roman" w:eastAsia="Times New Roman" w:hAnsi="Times New Roman"/>
              <w:b/>
              <w:bCs/>
              <w:color w:val="392668"/>
              <w:sz w:val="18"/>
              <w:szCs w:val="18"/>
            </w:rPr>
            <w:t xml:space="preserve">T.C.</w:t>
          </w:r>
        </w:p>
        <w:p>
          <w:pPr>
            <w:spacing w:after="0"/>
            <w:jc w:val="center"/>
          </w:pPr>
          <w:r>
            <w:rPr>
              <w:rFonts w:ascii="Times New Roman" w:cs="Times New Roman" w:eastAsia="Times New Roman" w:hAnsi="Times New Roman"/>
              <w:b/>
              <w:bCs/>
              <w:color w:val="392668"/>
              <w:sz w:val="18"/>
              <w:szCs w:val="18"/>
            </w:rPr>
            <w:t xml:space="preserve">BURDUR MEHMET AKİF ERSOY ÜNİVERSİTESİ</w:t>
          </w:r>
        </w:p>
        <w:p>
          <w:pPr>
            <w:spacing w:after="20"/>
            <w:jc w:val="center"/>
          </w:pPr>
          <w:r>
            <w:rPr>
              <w:rFonts w:ascii="Times New Roman" w:cs="Times New Roman" w:eastAsia="Times New Roman" w:hAnsi="Times New Roman"/>
              <w:b/>
              <w:bCs/>
              <w:color w:val="392668"/>
              <w:sz w:val="18"/>
              <w:szCs w:val="18"/>
            </w:rPr>
            <w:t xml:space="preserve">SAĞLIK BİLİMLERİ ENSTİTÜSÜ</w:t>
          </w:r>
        </w:p>
        <w:p>
          <w:pPr>
            <w:spacing w:after="0"/>
            <w:jc w:val="center"/>
          </w:pPr>
          <w:r>
            <w:rPr>
              <w:rFonts w:ascii="Times New Roman" w:cs="Times New Roman" w:eastAsia="Times New Roman" w:hAnsi="Times New Roman"/>
              <w:b/>
              <w:bCs/>
              <w:color w:val="E40139"/>
              <w:sz w:val="20"/>
              <w:szCs w:val="20"/>
            </w:rPr>
            <w:t xml:space="preserve">ÖĞRENCİ İŞLERİ SORUMLUSU GÖREV TANIMI</w:t>
          </w:r>
        </w:p>
      </w:tc>
      <w:tc>
        <w:tcPr>
          <w:tcW w:type="dxa" w:w="3120"/>
          <w:tcBorders>
            <w:top w:val="single" w:color="BFBFBF" w:sz="4"/>
            <w:left w:val="single" w:color="BFBFBF" w:sz="4"/>
            <w:bottom w:val="single" w:color="BFBFBF" w:sz="4"/>
            <w:right w:val="single" w:color="BFBFBF" w:sz="4"/>
          </w:tcBorders>
          <w:tcMar>
            <w:top w:type="dxa" w:w="0"/>
            <w:left w:type="dxa" w:w="0"/>
            <w:bottom w:type="dxa" w:w="0"/>
            <w:right w:type="dxa" w:w="0"/>
          </w:tcMar>
        </w:tcPr>
        <w:tbl>
          <w:tblPr>
            <w:tblW w:type="dxa" w:w="3120"/>
            <w:tblBorders>
              <w:top w:val="single" w:color="auto" w:sz="4"/>
              <w:left w:val="single" w:color="auto" w:sz="4"/>
              <w:bottom w:val="single" w:color="auto" w:sz="4"/>
              <w:right w:val="single" w:color="auto" w:sz="4"/>
              <w:insideH w:val="single" w:color="auto" w:sz="4"/>
              <w:insideV w:val="single" w:color="auto" w:sz="4"/>
            </w:tblBorders>
          </w:tblPr>
          <w:tblGrid>
            <w:gridCol w:w="1500"/>
            <w:gridCol w:w="1620"/>
          </w:tblGrid>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Doküman No</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GT-005</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Yayın Tarihi</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18.06.2026</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Revizyon No</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00</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Revizyon Tarihi</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Sayfa No</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fldChar w:fldCharType="begin"/>
                  <w:instrText xml:space="preserve">PAGE</w:instrText>
                  <w:fldChar w:fldCharType="separate"/>
                  <w:fldChar w:fldCharType="end"/>
                </w:r>
                <w:r>
                  <w:rPr>
                    <w:rFonts w:ascii="Times New Roman" w:cs="Times New Roman" w:eastAsia="Times New Roman" w:hAnsi="Times New Roman"/>
                    <w:sz w:val="16"/>
                    <w:szCs w:val="16"/>
                  </w:rPr>
                  <w:t xml:space="preserve"> / </w:t>
                </w:r>
                <w:r>
                  <w:rPr>
                    <w:rFonts w:ascii="Times New Roman" w:cs="Times New Roman" w:eastAsia="Times New Roman" w:hAnsi="Times New Roman"/>
                    <w:sz w:val="16"/>
                    <w:szCs w:val="16"/>
                  </w:rPr>
                  <w:fldChar w:fldCharType="begin"/>
                  <w:instrText xml:space="preserve">NUMPAGES</w:instrText>
                  <w:fldChar w:fldCharType="separate"/>
                  <w:fldChar w:fldCharType="end"/>
                </w:r>
              </w:p>
            </w:tc>
          </w:tr>
        </w:tbl>
        <w:p/>
      </w:tc>
    </w:tr>
  </w:tbl>
  <w:p>
    <w:pPr>
      <w:spacing w:after="60"/>
    </w:pPr>
    <w:r>
      <w:rPr>
        <w:rFonts w:ascii="Times New Roman" w:cs="Times New Roman" w:eastAsia="Times New Roman" w:hAnsi="Times New Roman"/>
        <w:sz w:val="8"/>
        <w:szCs w:val="8"/>
      </w:rP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abstractNum w:abstractNumId="3"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abstractNum w:abstractNumId="4"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abstractNum w:abstractNumId="5"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926bc702bab84fa380e74bd934c08e1088a9b9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Öğr. Üyesi Veysel DAL</dc:creator>
  <dcterms:created xsi:type="dcterms:W3CDTF">2026-06-09T10:31:30Z</dcterms:created>
  <dcterms:modified xsi:type="dcterms:W3CDTF">2026-06-09T10:31:30Z</dcterms:modified>
</cp:coreProperties>
</file>

<file path=docProps/custom.xml><?xml version="1.0" encoding="utf-8"?>
<Properties xmlns="http://schemas.openxmlformats.org/officeDocument/2006/custom-properties" xmlns:vt="http://schemas.openxmlformats.org/officeDocument/2006/docPropsVTypes"/>
</file>