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 - Mali İşler / Tahakkuk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Mali İşler (Tahakkuk)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Mali Roller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5018 sayılı Kanun kapsamında gerçekleştirme görevlisi / veri giriş görevlisi olarak görevlendirilir. (Harcama yetkilisi Enstitü Müdürüdür.)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Mali iş ve işlemler,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Mali İşler (Tahakkuk) Sorumlusu'nun görev, yetki ve sorumluluklarını başta 5018 sayılı Kamu Mali Yönetimi ve Kontrol Kanunu, 657 sayılı Devlet Memurları Kanunu ve ilgili mali mevzuat ile Kalite Yönetim Sistemi gerekliliklerine uygun olarak tanımlamak; enstitünün maaş, ödeme, tahakkuk ve bütçe iş ve işlemlerinin doğru, zamanında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personelin maaş, ek ders ücreti, telafi, fazla çalışma ve diğer özlük ödemelerine ilişkin tahakkuk işlemlerini hazırlamak.</w:t>
      </w:r>
      <w:r>
        <w:rPr>
          <w:rFonts w:ascii="Times New Roman" w:cs="Times New Roman" w:eastAsia="Times New Roman" w:hAnsi="Times New Roman"/>
          <w:i/>
          <w:iCs/>
          <w:color w:val="7F7F7F"/>
          <w:sz w:val="16"/>
          <w:szCs w:val="16"/>
        </w:rPr>
        <w:t xml:space="preserve">  (Kamu Personel Harcama Yön. Sistemi (KBS/KPHYS))</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Tahakkuk ve ödeme süreçlerini EBYS üzerinden takip etmek; KBS, MYS/HYS, EBYS ve SGK sistemlerinde ilgili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Gerçekleştirme görevlisi/veri giriş görevlisi sıfatıyla ödeme emri belgesi (ÖEB) ve eki kanıtlayıcı belgeleri Harcama Yönetim Sistemi (HYS/MYS) üzerinden düzenlemek ve onaya sunmak.</w:t>
      </w:r>
      <w:r>
        <w:rPr>
          <w:rFonts w:ascii="Times New Roman" w:cs="Times New Roman" w:eastAsia="Times New Roman" w:hAnsi="Times New Roman"/>
          <w:i/>
          <w:iCs/>
          <w:color w:val="7F7F7F"/>
          <w:sz w:val="16"/>
          <w:szCs w:val="16"/>
        </w:rPr>
        <w:t xml:space="preserve">  (5018 s.K. md. 33;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idari personel ve öğrencilere ilişkin ödeme işlemlerini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ÖYP, 2547/35. madde, YÖK 100/2000 ve Öncelikli Alanlar kapsamındaki araştırma görevlilerine ilişkin ödeme ve özlük tahakkuk işlemlerini yürütmek.</w:t>
      </w:r>
      <w:r>
        <w:rPr>
          <w:rFonts w:ascii="Times New Roman" w:cs="Times New Roman" w:eastAsia="Times New Roman" w:hAnsi="Times New Roman"/>
          <w:i/>
          <w:iCs/>
          <w:color w:val="7F7F7F"/>
          <w:sz w:val="16"/>
          <w:szCs w:val="16"/>
        </w:rPr>
        <w:t xml:space="preserve">  (2547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 ve hizmet alımlarına (doğrudan temin vb.) ilişkin taahhüt ve tahakkuk belgelerini hazırlamak ve satın alınan malzemelerin ödeme işlemlerini yürütmek.</w:t>
      </w:r>
      <w:r>
        <w:rPr>
          <w:rFonts w:ascii="Times New Roman" w:cs="Times New Roman" w:eastAsia="Times New Roman" w:hAnsi="Times New Roman"/>
          <w:i/>
          <w:iCs/>
          <w:color w:val="7F7F7F"/>
          <w:sz w:val="16"/>
          <w:szCs w:val="16"/>
        </w:rPr>
        <w:t xml:space="preserve">  (4734 s.K.;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Malzeme alımları için bütçe olanakları çerçevesinde piyasa araştırması ve teklif toplama işlemlerini yapmak.</w:t>
      </w:r>
      <w:r>
        <w:rPr>
          <w:rFonts w:ascii="Times New Roman" w:cs="Times New Roman" w:eastAsia="Times New Roman" w:hAnsi="Times New Roman"/>
          <w:i/>
          <w:iCs/>
          <w:color w:val="7F7F7F"/>
          <w:sz w:val="16"/>
          <w:szCs w:val="16"/>
        </w:rPr>
        <w:t xml:space="preserve">  (4734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Görevlendirmeler (tez savunması, konferans, sempozyum vb.) ile öğretim üyelerinin yolluk ve yevmiye işlemlerine ilişkin harcırah tahakkukunu yapmak.</w:t>
      </w:r>
      <w:r>
        <w:rPr>
          <w:rFonts w:ascii="Times New Roman" w:cs="Times New Roman" w:eastAsia="Times New Roman" w:hAnsi="Times New Roman"/>
          <w:i/>
          <w:iCs/>
          <w:color w:val="7F7F7F"/>
          <w:sz w:val="16"/>
          <w:szCs w:val="16"/>
        </w:rPr>
        <w:t xml:space="preserve">  (6245 s.K. (Harcırah Kanunu))</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nakil (giriş-çıkış) işlemlerine ilişkin mali iş ve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SGK bildirge giriş-çıkış işlemleri ile emekli keseneği, prim, gelir vergisi, damga vergisi ve diğer yasal kesinti ve bildirimlerini yapmak.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mal bildirimi işlemlerinin takibini yapmak.</w:t>
      </w:r>
      <w:r>
        <w:rPr>
          <w:rFonts w:ascii="Times New Roman" w:cs="Times New Roman" w:eastAsia="Times New Roman" w:hAnsi="Times New Roman"/>
          <w:i/>
          <w:iCs/>
          <w:color w:val="7F7F7F"/>
          <w:sz w:val="16"/>
          <w:szCs w:val="16"/>
        </w:rPr>
        <w:t xml:space="preserve">  (657 s.K. md. 14; 3628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Avans, kredi ve ön ödeme işlemlerini yürütmek ve mahsuplarını süresinde takip etmek.</w:t>
      </w:r>
      <w:r>
        <w:rPr>
          <w:rFonts w:ascii="Times New Roman" w:cs="Times New Roman" w:eastAsia="Times New Roman" w:hAnsi="Times New Roman"/>
          <w:i/>
          <w:iCs/>
          <w:color w:val="7F7F7F"/>
          <w:sz w:val="16"/>
          <w:szCs w:val="16"/>
        </w:rPr>
        <w:t xml:space="preserve">  (Merkezi Yönetim Harcama Belgeleri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Bütçe hazırlık çalışmalarına katkı sağlamak; ödenek ve harcamaları izleyerek ödenek üstü/usulsüz harcamayı önlemek ve gerektiğinde Enstitü Sekreterini/Müdürünü bilgilendirmek.</w:t>
      </w:r>
      <w:r>
        <w:rPr>
          <w:rFonts w:ascii="Times New Roman" w:cs="Times New Roman" w:eastAsia="Times New Roman" w:hAnsi="Times New Roman"/>
          <w:i/>
          <w:iCs/>
          <w:color w:val="7F7F7F"/>
          <w:sz w:val="16"/>
          <w:szCs w:val="16"/>
        </w:rPr>
        <w:t xml:space="preserve">  (5018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 alımlarında taşınır kayıt kontrol yetkilisi ile koordineli çalışmak ve ödeme süreciyle taşınır kaydının uyumunu sağlamak.</w:t>
      </w:r>
      <w:r>
        <w:rPr>
          <w:rFonts w:ascii="Times New Roman" w:cs="Times New Roman" w:eastAsia="Times New Roman" w:hAnsi="Times New Roman"/>
          <w:i/>
          <w:iCs/>
          <w:color w:val="7F7F7F"/>
          <w:sz w:val="16"/>
          <w:szCs w:val="16"/>
        </w:rPr>
        <w:t xml:space="preserve">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Mali tablo, harcama belgesi ve kayıtları düzenli tutmak ve mevzuata uygun biçimde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mali bilgilerin ve kişisel verilerin (banka, maaş vb.) güvenliğini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mali süreçlerin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rol kapsamında HYS/MYS ve KBS sistemlerinde işlem yapma ve mali belge düzenleme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Gerçekleştirme görevlisi sıfatıyla düzenlediği ödeme emri belgesi ve harcama belgelerini imzalama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Eksik, hatalı veya usule aykırı mali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Gerçekleştirme görevlisi olarak düzenlediği ödeme emri ve harcama belgelerinin doğruluğundan ve mevzuata uygunluğundan sorumludur.</w:t>
      </w:r>
      <w:r>
        <w:rPr>
          <w:rFonts w:ascii="Times New Roman" w:cs="Times New Roman" w:eastAsia="Times New Roman" w:hAnsi="Times New Roman"/>
          <w:i/>
          <w:iCs/>
          <w:color w:val="7F7F7F"/>
          <w:sz w:val="16"/>
          <w:szCs w:val="16"/>
        </w:rPr>
        <w:t xml:space="preserve">  (5018 s.K. md. 33)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gereken dikkat ve özenle yapmaktan; kusurlu hareketiyle kuruma vereceği zarardan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Mevzuatla belirlenen esaslara uymaktan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mali bilgilerin ve kişisel verilerin gizliliğinden ve güvenliğinden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mali süreçlerde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iktisadi-idari, muhasebe veya maliye alanlarında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5018 sayılı Kanun, Merkezi Yönetim Harcama Belgeleri Yönetmeliği, 6245 sayılı Harcırah Kanunu, kamu personel ve mali mevzuat ile HYS/MYS ve KBS sistemlerine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Sayısal dikkat ve doğruluk, mali mevzuat bilgisi, bilişim sistemleri kullanımı, gizliliğe riayet ve titizlik.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31, 32, 33)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Merkezi Yönetim Harcama Belgeleri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4734 sayılı Kamu İhale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6245 sayılı Harcırah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3628 sayılı Mal Bildiriminde Bulunulması, Rüşvet ve Yolsuzluklarla Mücadele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MALİ İŞLER (TAHAKKUK)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2026-06-09T10:31:31Z</dcterms:created>
  <dcterms:modified xsi:type="dcterms:W3CDTF">2026-06-09T10:31:31Z</dcterms:modified>
</cp:coreProperties>
</file>

<file path=docProps/custom.xml><?xml version="1.0" encoding="utf-8"?>
<Properties xmlns="http://schemas.openxmlformats.org/officeDocument/2006/custom-properties" xmlns:vt="http://schemas.openxmlformats.org/officeDocument/2006/docPropsVTypes"/>
</file>