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………………………………………………… Anabilim Dalı ……………………………………………… dersinin, …/…/……. günü, yazılı olarak yapılan 20…./20…. Güz/Bahar yarıyılı Ara/Final sınav görevlileri saat: …………'da toplanarak görevine başlamış, saat: …………'da görevini tamamlamış ve sınava toplam …………. öğrenci katılmıştır.</w:t>
      </w:r>
    </w:p>
    <w:p>
      <w:pPr>
        <w:spacing w:after="80" w:before="4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İş bu tutanak tarafımızdan tanzim ve imza edilmiştir.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  I. Öğretim</w:t>
            </w:r>
          </w:p>
        </w:tc>
        <w:tc>
          <w:tcPr>
            <w:tcW w:type="dxa" w:w="4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  II. Öğretim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Sınavı Yapan Öğretim Elemanı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-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Gözetmenler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3606"/>
      </w:tblGrid>
      <w:tr>
        <w:trPr>
          <w:tblHeader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Sıra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- Soyadı</w:t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</w:tr>
      <w:tr>
        <w:trPr>
          <w:trHeight w:val="40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Sınav Görevlileri Tutanağı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FR-053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FR-053 Sınav Görevlileri Tutanağı Formu</dc:title>
  <dc:creator>Dr. Öğr. Üyesi Veysel DAL</dc:creator>
  <dcterms:created xsi:type="dcterms:W3CDTF">2026-06-03T12:52:16Z</dcterms:created>
  <dcterms:modified xsi:type="dcterms:W3CDTF">2026-06-03T12:52:16Z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