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Sürecin Adı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4"/>
                <w:szCs w:val="24"/>
              </w:rPr>
              <w:t xml:space="preserve">Tez Konusu Değiştirme  Süreci-Tezli Yüksek Lisans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080"/>
        <w:gridCol w:w="2600"/>
        <w:gridCol w:w="208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Süreç Kodu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SRC-01.09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ISO 9001 Şartı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4.4 Kalite yönetim sistemi ve prosesleri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1. SÜRECİN AMACI</w:t>
      </w:r>
    </w:p>
    <w:p>
      <w:pPr>
        <w:spacing w:after="120" w:before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Tezli yüksek lisans öğrencilerinin  tez konusu değişiklik taleplerinin mevzuata uygun biçimde değerlendirilerek karara bağlanması ve OBİS’e işlenmesini sağlamak.</w:t>
      </w: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2. SÜRECİN SORUMLULARI</w:t>
      </w:r>
    </w:p>
    <w:p>
      <w:pPr>
        <w:spacing w:after="0" w:before="40"/>
      </w:pP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Müdürlüğü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Yönetim Kurulu (EYK)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Anabilim/Anasanat Dalı Başkanlığı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Anabilim/Anasanat Dalı Akademik Kurulu (EABDAK / EASDAK)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Danışman Öğretim Üyesi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Enstitü Sekreterliği / Öğrenci İşleri Birimi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3. GİRDİLER ve ÇIKTILAR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Girdiler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Çıktılar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Tez Konusu Değişikliği Başvuru Formu , EABDAK/EASDAK Önerisi, EYK Kararı. Burdur Mehmet Akif Ersoy Üniversitesi “Lisansüstü Eğitim-Öğretim ve Sınav Yönetmeliği Madde 14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Güncellenmiş tez konusu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4. SÜRECİN SIRALI İŞLEMLERİ</w:t>
      </w:r>
    </w:p>
    <w:p>
      <w:pPr>
        <w:spacing w:after="40"/>
      </w:pP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Tez Konusu Değişiklik Başvuru Formunun ilgili EABD/EASD başkanlığına verilmesi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EABDAK/EASDAK başkanlığının önerisi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EYK Kararı Alınması ( Kabul / Red )( Maks Sınırılar)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Değişikliğin Öğrenci ve Danışmana Bildirilmesi - OBİS'e girilmesi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5. SÜREÇ ETKİLEŞİMLERİ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Akademik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Tez Konusu Belirleme Süreci - Tezli YL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Tez Savunma ve Sonuçlandırma Süreci - Tezli YL; Yönetim Kurulu Toplanma ve Karar Alma Süreci; Diploma ve Mezuniyet Süreci Tezli YL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6. HEDEFLER ve PERFORMANS KRİTERLERİ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Sürece İlişkin Hedefler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Performans Kriterleri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H33: Başvuru formunun EABDAK/EASDAK gündemine alınma süresinin 5 iş gününü geçmemesi oranı %95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H34: EABDAK Önersinin EABDK kararı sonrası 3 işgününde Enstitüye İletilme oranı %95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H35: Tebliğ-OBİS işleme süresinin 3 iş gününü geçmemesi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H36: Form iade oranının %5'in altında olması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P33: Form- EABDAK/EASDAK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P34: EABDAK/EASDAK -EYK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P35: Tebliğ-OBİS işleme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P36: Form iade oranı (%)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7. SÜREÇ SWOT ANALİZİ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548235"/>
                <w:sz w:val="22"/>
                <w:szCs w:val="22"/>
              </w:rPr>
              <w:t xml:space="preserve">Güçlü Yönler (G)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G2: Elektronik belge yönetimi ve e-imza altyapısının süreç hızını artırması / Sahip olunan Dijital Alt Yapılar : EBSY-OBİS-Yoklama Sistemi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G12: Standart dilekçe şablonları ile talep kalitesinin artırılması, iade oranının düşürülmesi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00000"/>
                <w:sz w:val="22"/>
                <w:szCs w:val="22"/>
              </w:rPr>
              <w:t xml:space="preserve">Zayıf Yönler (Z)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Z69: Etik kurul onayı gerektiren değişikliklerde başvurunun eş zamanlı başlatılmaması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Z29:  EABDAK ve EYK arasındaki belge akışında tekrarlı iade ve süreç döngüsü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Z19: EYK'nın Geç Toplanması- EYK Kararında gecikme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2E5496"/>
                <w:sz w:val="22"/>
                <w:szCs w:val="22"/>
              </w:rPr>
              <w:t xml:space="preserve">Fırsatlar (F)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F42: Etik kurul başvuru ve onay süreçlerinin dijitalleşmesi; değişiklik sonrası yeniden onay yükünü hafifletmesi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F43:Açık veri altyapılarının yaygınlaşması / gelişmesi; süreci hızlandırması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F44:YÖK Lisansüstü Yönetmeliği'nde konu değişikliğinin azami süreden sayılmamasına ilişkin olası yasal değişim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55A11"/>
                <w:sz w:val="22"/>
                <w:szCs w:val="22"/>
              </w:rPr>
              <w:t xml:space="preserve">Tehditler (T)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T31: YÖK'ün konu değişikliğinin azami öğrenim süresi hesabında dikkate almaması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T39: Etik kurul yeniden başvuru zorunluluğunun doğması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T40: YÖK- TÜBİTAK öncelikli alan  güncellenmesinin öğrencileri yeni alanlara yönelmeye teşvik etmesi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T41: Mezuniyet/azami öğrenim süresine yakın yapılan değişikliklerde süre aşımı riski doğurması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8. İLGİLİ MEVZUAT ve DOKÜMANLAR</w:t>
      </w:r>
    </w:p>
    <w:p>
      <w:pPr>
        <w:spacing w:after="40"/>
      </w:pP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2547 sayılı Yükseköğretim Kanunu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YÖK Lisansüstü Eğitim ve Öğretim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Lisansüstü Eğitim-Öğretim ve Sınav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Senatosu Kararları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TS EN ISO 9001:2015 Kalite Yönetim Sistemi Standardı</w:t>
      </w:r>
    </w:p>
    <w:p>
      <w:pPr>
        <w:spacing w:after="10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9. HAZIRLAYAN / KONTROL EDEN / ONAYLAYAN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HAZIRLAYAN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KONTROL EDEN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ONAYLAYAN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Kalite Birim Sorumlusu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Sekreteri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Müdürü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4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Burdur Mehmet Akif Ersoy Üniversitesi - Sağlık Bilimleri Enstitüsü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İstiklal Yerleşkesi, Mühendislik-Mimarlık Fakültesi Binası, 15030 BURDUR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e-posta: sagbil@mehmetakif.edu.tr  •  Tel: +90 248 213 31 80  •  Web: https://sagbil.mehmetakif.edu.tr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BFBFBF" w:sz="4"/>
        <w:left w:val="single" w:color="BFBFBF" w:sz="4"/>
        <w:bottom w:val="single" w:color="BFBFBF" w:sz="4"/>
        <w:right w:val="single" w:color="BFBFBF" w:sz="4"/>
        <w:insideH w:val="single" w:color="auto" w:sz="4"/>
        <w:insideV w:val="single" w:color="auto" w:sz="4"/>
      </w:tblBorders>
    </w:tblPr>
    <w:tblGrid>
      <w:gridCol w:w="1340"/>
      <w:gridCol w:w="4900"/>
      <w:gridCol w:w="3120"/>
    </w:tblGrid>
    <w:tr>
      <w:tc>
        <w:tcPr>
          <w:tcW w:type="dxa" w:w="134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p>
          <w:pPr>
            <w:spacing w:after="0"/>
            <w:jc w:val="center"/>
          </w:pPr>
          <w:r>
            <w:drawing>
              <wp:inline distT="0" distB="0" distL="0" distR="0">
                <wp:extent cx="609600" cy="60960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0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80"/>
            <w:bottom w:type="dxa" w:w="40"/>
            <w:right w:type="dxa" w:w="80"/>
          </w:tcMar>
          <w:vAlign w:val="center"/>
        </w:tcPr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T.C.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BURDUR MEHMET AKİF ERSOY ÜNİVERSİTESİ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SAĞLIK BİLİMLERİ ENSTİTÜSÜ</w:t>
          </w:r>
        </w:p>
        <w:p>
          <w:pPr>
            <w:spacing w:after="0" w:before="3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E40139"/>
              <w:sz w:val="20"/>
              <w:szCs w:val="20"/>
            </w:rPr>
            <w:t xml:space="preserve">SÜREÇ KARTI</w:t>
          </w:r>
        </w:p>
      </w:tc>
      <w:tc>
        <w:tcPr>
          <w:tcW w:type="dxa" w:w="312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20"/>
            <w:left w:type="dxa" w:w="20"/>
            <w:bottom w:type="dxa" w:w="20"/>
            <w:right w:type="dxa" w:w="20"/>
          </w:tcMar>
          <w:vAlign w:val="center"/>
        </w:tcPr>
        <w:tbl>
          <w:tblPr>
            <w:tblW w:type="dxa" w:w="3120"/>
            <w:tbl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  <w:insideH w:val="single" w:color="auto" w:sz="4"/>
              <w:insideV w:val="single" w:color="auto" w:sz="4"/>
            </w:tblBorders>
          </w:tblPr>
          <w:tblGrid>
            <w:gridCol w:w="1500"/>
            <w:gridCol w:w="1620"/>
          </w:tblGrid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Doküman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PK-01.09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Yayın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18.06.2026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00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—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Sayfa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PAGE</w:instrText>
                  <w:fldChar w:fldCharType="separate"/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 / </w:t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  <w:p>
    <w:pPr>
      <w:spacing w:after="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926bc702bab84fa380e74bd934c08e1088a9b9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Öğr. Üyesi Veysel DAL</dc:creator>
  <cp:lastModifiedBy>Dr. Öğr. Üyesi Veysel DAL</cp:lastModifiedBy>
  <cp:revision>1</cp:revision>
  <dcterms:created xsi:type="dcterms:W3CDTF">2026-06-09T11:39:13.270Z</dcterms:created>
  <dcterms:modified xsi:type="dcterms:W3CDTF">2026-06-09T11:39:13.270Z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