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Tezsiz Yüksek Lisans Programı Başvuru Değerlendirme ve Kabul Süreci</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SRC-01.12</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Tezsiz yüksek lisans programlarına başvuran adayların, yürürlükteki mevzuat ve Senato kararları doğrultusunda başvuru koşullarını sağlayıp sağlamadıklarının değerlendirilmesi, başarı notlarının hesaplanarak sıralanması ve öğrenci kabul işlemlerinin adil, şeffaf ve mevzuata uygun şekilde gerçekleştirilmesini sağlamaktır.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Enstitü Müdürlüğü</w:t>
      </w:r>
    </w:p>
    <w:p>
      <w:pPr>
        <w:pStyle w:val="ListParagraph"/>
        <w:numPr>
          <w:ilvl w:val="0"/>
          <w:numId w:val="2"/>
        </w:numPr>
        <w:spacing w:after="20"/>
      </w:pPr>
      <w:r>
        <w:rPr>
          <w:rFonts w:ascii="Times New Roman" w:cs="Times New Roman" w:eastAsia="Times New Roman" w:hAnsi="Times New Roman"/>
          <w:sz w:val="21"/>
          <w:szCs w:val="21"/>
        </w:rPr>
        <w:t xml:space="preserve">Enstitü Yönetim Kurulu (EYK)</w:t>
      </w:r>
    </w:p>
    <w:p>
      <w:pPr>
        <w:pStyle w:val="ListParagraph"/>
        <w:numPr>
          <w:ilvl w:val="0"/>
          <w:numId w:val="2"/>
        </w:numPr>
        <w:spacing w:after="20"/>
      </w:pPr>
      <w:r>
        <w:rPr>
          <w:rFonts w:ascii="Times New Roman" w:cs="Times New Roman" w:eastAsia="Times New Roman" w:hAnsi="Times New Roman"/>
          <w:sz w:val="21"/>
          <w:szCs w:val="21"/>
        </w:rPr>
        <w:t xml:space="preserve">Enstitü Anabilim/Anasanat Dalı Başkanlığı</w:t>
      </w:r>
    </w:p>
    <w:p>
      <w:pPr>
        <w:pStyle w:val="ListParagraph"/>
        <w:numPr>
          <w:ilvl w:val="0"/>
          <w:numId w:val="2"/>
        </w:numPr>
        <w:spacing w:after="20"/>
      </w:pPr>
      <w:r>
        <w:rPr>
          <w:rFonts w:ascii="Times New Roman" w:cs="Times New Roman" w:eastAsia="Times New Roman" w:hAnsi="Times New Roman"/>
          <w:sz w:val="21"/>
          <w:szCs w:val="21"/>
        </w:rPr>
        <w:t xml:space="preserve">Değerlendirme Jürisi (EABD/EASD öğretim üyeleri)</w:t>
      </w:r>
    </w:p>
    <w:p>
      <w:pPr>
        <w:pStyle w:val="ListParagraph"/>
        <w:numPr>
          <w:ilvl w:val="0"/>
          <w:numId w:val="2"/>
        </w:numPr>
        <w:spacing w:after="20"/>
      </w:pPr>
      <w:r>
        <w:rPr>
          <w:rFonts w:ascii="Times New Roman" w:cs="Times New Roman" w:eastAsia="Times New Roman" w:hAnsi="Times New Roman"/>
          <w:sz w:val="21"/>
          <w:szCs w:val="21"/>
        </w:rPr>
        <w:t xml:space="preserve">Enstitü Sekreterliği / Öğrenci İşleri Birimi</w:t>
      </w:r>
    </w:p>
    <w:p>
      <w:pPr>
        <w:pStyle w:val="ListParagraph"/>
        <w:numPr>
          <w:ilvl w:val="0"/>
          <w:numId w:val="2"/>
        </w:numPr>
        <w:spacing w:after="20"/>
      </w:pPr>
      <w:r>
        <w:rPr>
          <w:rFonts w:ascii="Times New Roman" w:cs="Times New Roman" w:eastAsia="Times New Roman" w:hAnsi="Times New Roman"/>
          <w:sz w:val="21"/>
          <w:szCs w:val="21"/>
        </w:rPr>
        <w:t xml:space="preserve">Öğrenci İşleri Daire Başkanlığı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Lisans Diploması,  Denklik Belgesi  Nüfus cüzdanı veya Türkiye Cumhuriyeti kimlik kartı, Transkrip belgesi, Burdur Mehmet Akif Ersoy Üniversitesi “Lisansüstü Eğitim-Öğretim ve Sınav Yönetmeliği Madde 18</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Kayıt hakkı kazanan aday listesi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Kontenjan, Başvuru Koşullarının ve takvimin birim ve kurum web sayfasından ilanı.</w:t>
      </w:r>
    </w:p>
    <w:p>
      <w:pPr>
        <w:pStyle w:val="ListParagraph"/>
        <w:numPr>
          <w:ilvl w:val="0"/>
          <w:numId w:val="3"/>
        </w:numPr>
        <w:spacing w:after="20"/>
      </w:pPr>
      <w:r>
        <w:rPr>
          <w:rFonts w:ascii="Times New Roman" w:cs="Times New Roman" w:eastAsia="Times New Roman" w:hAnsi="Times New Roman"/>
          <w:sz w:val="21"/>
          <w:szCs w:val="21"/>
        </w:rPr>
        <w:t xml:space="preserve">Kontenjan ve Şartların OBİS'e Yüklenmesi</w:t>
      </w:r>
    </w:p>
    <w:p>
      <w:pPr>
        <w:pStyle w:val="ListParagraph"/>
        <w:numPr>
          <w:ilvl w:val="0"/>
          <w:numId w:val="3"/>
        </w:numPr>
        <w:spacing w:after="20"/>
      </w:pPr>
      <w:r>
        <w:rPr>
          <w:rFonts w:ascii="Times New Roman" w:cs="Times New Roman" w:eastAsia="Times New Roman" w:hAnsi="Times New Roman"/>
          <w:sz w:val="21"/>
          <w:szCs w:val="21"/>
        </w:rPr>
        <w:t xml:space="preserve">Değerlendirme Jurilerinin belirlenmesi ve  OBİS'e tanımlanması.</w:t>
      </w:r>
    </w:p>
    <w:p>
      <w:pPr>
        <w:pStyle w:val="ListParagraph"/>
        <w:numPr>
          <w:ilvl w:val="0"/>
          <w:numId w:val="3"/>
        </w:numPr>
        <w:spacing w:after="20"/>
      </w:pPr>
      <w:r>
        <w:rPr>
          <w:rFonts w:ascii="Times New Roman" w:cs="Times New Roman" w:eastAsia="Times New Roman" w:hAnsi="Times New Roman"/>
          <w:sz w:val="21"/>
          <w:szCs w:val="21"/>
        </w:rPr>
        <w:t xml:space="preserve">Başvuruların OBİS üzerinden alınması</w:t>
      </w:r>
    </w:p>
    <w:p>
      <w:pPr>
        <w:pStyle w:val="ListParagraph"/>
        <w:numPr>
          <w:ilvl w:val="0"/>
          <w:numId w:val="3"/>
        </w:numPr>
        <w:spacing w:after="20"/>
      </w:pPr>
      <w:r>
        <w:rPr>
          <w:rFonts w:ascii="Times New Roman" w:cs="Times New Roman" w:eastAsia="Times New Roman" w:hAnsi="Times New Roman"/>
          <w:sz w:val="21"/>
          <w:szCs w:val="21"/>
        </w:rPr>
        <w:t xml:space="preserve">Ön değerlendirmelerin yapılması</w:t>
      </w:r>
    </w:p>
    <w:p>
      <w:pPr>
        <w:pStyle w:val="ListParagraph"/>
        <w:numPr>
          <w:ilvl w:val="0"/>
          <w:numId w:val="3"/>
        </w:numPr>
        <w:spacing w:after="20"/>
      </w:pPr>
      <w:r>
        <w:rPr>
          <w:rFonts w:ascii="Times New Roman" w:cs="Times New Roman" w:eastAsia="Times New Roman" w:hAnsi="Times New Roman"/>
          <w:sz w:val="21"/>
          <w:szCs w:val="21"/>
        </w:rPr>
        <w:t xml:space="preserve">Başvuruların nihai olarak değerlendirilmesi</w:t>
      </w:r>
    </w:p>
    <w:p>
      <w:pPr>
        <w:pStyle w:val="ListParagraph"/>
        <w:numPr>
          <w:ilvl w:val="0"/>
          <w:numId w:val="3"/>
        </w:numPr>
        <w:spacing w:after="20"/>
      </w:pPr>
      <w:r>
        <w:rPr>
          <w:rFonts w:ascii="Times New Roman" w:cs="Times New Roman" w:eastAsia="Times New Roman" w:hAnsi="Times New Roman"/>
          <w:sz w:val="21"/>
          <w:szCs w:val="21"/>
        </w:rPr>
        <w:t xml:space="preserve">Sonuçların Adaylara Duyurulması</w:t>
      </w:r>
    </w:p>
    <w:p>
      <w:pPr>
        <w:pStyle w:val="ListParagraph"/>
        <w:numPr>
          <w:ilvl w:val="0"/>
          <w:numId w:val="3"/>
        </w:numPr>
        <w:spacing w:after="20"/>
      </w:pPr>
      <w:r>
        <w:rPr>
          <w:rFonts w:ascii="Times New Roman" w:cs="Times New Roman" w:eastAsia="Times New Roman" w:hAnsi="Times New Roman"/>
          <w:sz w:val="21"/>
          <w:szCs w:val="21"/>
        </w:rPr>
        <w:t xml:space="preserve">Kesin kayıt işlemlerinin  OBİS üzerinden alınması.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 İdari ve Mali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Kontenjanların Belirlenmesi ve İlanı Süreci</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Danışman Ataması Süreci - Tezsiz YL; Kayıt Yenileme Süreci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H47: İlan-kesin kayıt takvimine %100 uyum</w:t>
            </w:r>
          </w:p>
          <w:p>
            <w:pPr>
              <w:spacing w:after="40"/>
            </w:pPr>
            <w:r>
              <w:rPr>
                <w:rFonts w:ascii="Times New Roman" w:cs="Times New Roman" w:eastAsia="Times New Roman" w:hAnsi="Times New Roman"/>
                <w:sz w:val="21"/>
                <w:szCs w:val="21"/>
              </w:rPr>
              <w:t xml:space="preserve">H48: Jürilerin ilan tarihinden en geç 5 gün önce OBİS'e tanımlanma oranının %100 olması</w:t>
            </w:r>
          </w:p>
          <w:p>
            <w:pPr>
              <w:spacing w:after="40"/>
            </w:pPr>
            <w:r>
              <w:rPr>
                <w:rFonts w:ascii="Times New Roman" w:cs="Times New Roman" w:eastAsia="Times New Roman" w:hAnsi="Times New Roman"/>
                <w:sz w:val="21"/>
                <w:szCs w:val="21"/>
              </w:rPr>
              <w:t xml:space="preserve">H49: Sonuçların takvim gününde duyurulma oranının %100 olması.</w:t>
            </w:r>
          </w:p>
          <w:p>
            <w:pPr>
              <w:spacing w:after="40"/>
            </w:pPr>
            <w:r>
              <w:rPr>
                <w:rFonts w:ascii="Times New Roman" w:cs="Times New Roman" w:eastAsia="Times New Roman" w:hAnsi="Times New Roman"/>
                <w:sz w:val="21"/>
                <w:szCs w:val="21"/>
              </w:rPr>
              <w:t xml:space="preserve">H50: İtirazların süresi (10 gün) içinde karara bağlanma oranının %100 olması</w:t>
            </w:r>
          </w:p>
          <w:p>
            <w:pPr>
              <w:spacing w:after="40"/>
            </w:pPr>
            <w:r>
              <w:rPr>
                <w:rFonts w:ascii="Times New Roman" w:cs="Times New Roman" w:eastAsia="Times New Roman" w:hAnsi="Times New Roman"/>
                <w:sz w:val="21"/>
                <w:szCs w:val="21"/>
              </w:rPr>
              <w:t xml:space="preserve">H51: Başvuru belgelerinin ön kontrol süresinin başvuru bitiminden sonra her ilan döneminde 5 iş gününü geçmemesi</w:t>
            </w:r>
          </w:p>
          <w:p>
            <w:pPr>
              <w:spacing w:after="40"/>
            </w:pPr>
            <w:r>
              <w:rPr>
                <w:rFonts w:ascii="Times New Roman" w:cs="Times New Roman" w:eastAsia="Times New Roman" w:hAnsi="Times New Roman"/>
                <w:sz w:val="21"/>
                <w:szCs w:val="21"/>
              </w:rPr>
              <w:t xml:space="preserve">H52: Eksik belge bildirimlerinin başvuru sahibine 3 iş günü içinde iletilme oranının dönem başına %100 olması</w:t>
            </w:r>
          </w:p>
          <w:p>
            <w:pPr>
              <w:spacing w:after="40"/>
            </w:pPr>
            <w:r>
              <w:rPr>
                <w:rFonts w:ascii="Times New Roman" w:cs="Times New Roman" w:eastAsia="Times New Roman" w:hAnsi="Times New Roman"/>
                <w:sz w:val="21"/>
                <w:szCs w:val="21"/>
              </w:rPr>
              <w:t xml:space="preserve">H53: Her ilan döneminde kontenjan doluluk oranının yıllık %50'nin üzerinde olması ( ortak bir oran belirlenmesi lazım</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P47: Takvim uyum oranı (%)</w:t>
            </w:r>
          </w:p>
          <w:p>
            <w:pPr>
              <w:spacing w:after="40"/>
            </w:pPr>
            <w:r>
              <w:rPr>
                <w:rFonts w:ascii="Times New Roman" w:cs="Times New Roman" w:eastAsia="Times New Roman" w:hAnsi="Times New Roman"/>
                <w:sz w:val="21"/>
                <w:szCs w:val="21"/>
              </w:rPr>
              <w:t xml:space="preserve">P48: Jüri tanımlama süresi (ilan öncesi gün 5 gün) %</w:t>
            </w:r>
          </w:p>
          <w:p>
            <w:pPr>
              <w:spacing w:after="40"/>
            </w:pPr>
            <w:r>
              <w:rPr>
                <w:rFonts w:ascii="Times New Roman" w:cs="Times New Roman" w:eastAsia="Times New Roman" w:hAnsi="Times New Roman"/>
                <w:sz w:val="21"/>
                <w:szCs w:val="21"/>
              </w:rPr>
              <w:t xml:space="preserve">P49: Sonuç ilan uyum oranı (%)</w:t>
            </w:r>
          </w:p>
          <w:p>
            <w:pPr>
              <w:spacing w:after="40"/>
            </w:pPr>
            <w:r>
              <w:rPr>
                <w:rFonts w:ascii="Times New Roman" w:cs="Times New Roman" w:eastAsia="Times New Roman" w:hAnsi="Times New Roman"/>
                <w:sz w:val="21"/>
                <w:szCs w:val="21"/>
              </w:rPr>
              <w:t xml:space="preserve">P50: İtiraz karar süresi uyum oranı (%)</w:t>
            </w:r>
          </w:p>
          <w:p>
            <w:pPr>
              <w:spacing w:after="40"/>
            </w:pPr>
            <w:r>
              <w:rPr>
                <w:rFonts w:ascii="Times New Roman" w:cs="Times New Roman" w:eastAsia="Times New Roman" w:hAnsi="Times New Roman"/>
                <w:sz w:val="21"/>
                <w:szCs w:val="21"/>
              </w:rPr>
              <w:t xml:space="preserve">P51: Ön Kontrol Süresi (gün)</w:t>
            </w:r>
          </w:p>
          <w:p>
            <w:pPr>
              <w:spacing w:after="40"/>
            </w:pPr>
            <w:r>
              <w:rPr>
                <w:rFonts w:ascii="Times New Roman" w:cs="Times New Roman" w:eastAsia="Times New Roman" w:hAnsi="Times New Roman"/>
                <w:sz w:val="21"/>
                <w:szCs w:val="21"/>
              </w:rPr>
              <w:t xml:space="preserve">P52: Eksik belge bildirim (gün)</w:t>
            </w:r>
          </w:p>
          <w:p>
            <w:pPr>
              <w:spacing w:after="40"/>
            </w:pPr>
            <w:r>
              <w:rPr>
                <w:rFonts w:ascii="Times New Roman" w:cs="Times New Roman" w:eastAsia="Times New Roman" w:hAnsi="Times New Roman"/>
                <w:sz w:val="21"/>
                <w:szCs w:val="21"/>
              </w:rPr>
              <w:t xml:space="preserve">P53: Kontenjan doluluk oranı (%)</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G2: Elektronik belge yönetimi ve e-imza altyapısının süreç hızını artırması / Sahip olunan Dijital Alt Yapılar : EBSY-OBİS-Yoklama Sistemi</w:t>
            </w:r>
          </w:p>
          <w:p>
            <w:pPr>
              <w:spacing w:after="40"/>
            </w:pPr>
            <w:r>
              <w:rPr>
                <w:rFonts w:ascii="Times New Roman" w:cs="Times New Roman" w:eastAsia="Times New Roman" w:hAnsi="Times New Roman"/>
                <w:sz w:val="20"/>
                <w:szCs w:val="20"/>
              </w:rPr>
              <w:t xml:space="preserve">G10: Aday adaylarına yönelik çevrim içi başvuru rehberi sunulması ile eksik belge oranının düşürülmesi</w:t>
            </w:r>
          </w:p>
          <w:p>
            <w:pPr>
              <w:spacing w:after="40"/>
            </w:pPr>
            <w:r>
              <w:rPr>
                <w:rFonts w:ascii="Times New Roman" w:cs="Times New Roman" w:eastAsia="Times New Roman" w:hAnsi="Times New Roman"/>
                <w:sz w:val="20"/>
                <w:szCs w:val="20"/>
              </w:rPr>
              <w:t xml:space="preserve">G11: İlan / Başvuru Süresince Enstitü tarafından Telefon / Yüzyüze / SMS yoluyla Bilgilendirme Hizmeti Verilmesi</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Z12: Jüri üyelerinin değerlendirme takvimine uyumsuzluğu</w:t>
            </w:r>
          </w:p>
          <w:p>
            <w:pPr>
              <w:spacing w:after="40"/>
            </w:pPr>
            <w:r>
              <w:rPr>
                <w:rFonts w:ascii="Times New Roman" w:cs="Times New Roman" w:eastAsia="Times New Roman" w:hAnsi="Times New Roman"/>
                <w:sz w:val="20"/>
                <w:szCs w:val="20"/>
              </w:rPr>
              <w:t xml:space="preserve">Z13: Sonuç ilanı sonrası itirazların yoğunluğu ve mevzuat süresi içinde sonuçlandırma baskısı</w:t>
            </w:r>
          </w:p>
          <w:p>
            <w:pPr>
              <w:spacing w:after="40"/>
            </w:pPr>
            <w:r>
              <w:rPr>
                <w:rFonts w:ascii="Times New Roman" w:cs="Times New Roman" w:eastAsia="Times New Roman" w:hAnsi="Times New Roman"/>
                <w:sz w:val="20"/>
                <w:szCs w:val="20"/>
              </w:rPr>
              <w:t xml:space="preserve">Z14: Not dönüşümünde YÖK dönüşüm tablosunun yanlış uygulanması</w:t>
            </w:r>
          </w:p>
          <w:p>
            <w:pPr>
              <w:spacing w:after="40"/>
            </w:pPr>
            <w:r>
              <w:rPr>
                <w:rFonts w:ascii="Times New Roman" w:cs="Times New Roman" w:eastAsia="Times New Roman" w:hAnsi="Times New Roman"/>
                <w:sz w:val="20"/>
                <w:szCs w:val="20"/>
              </w:rPr>
              <w:t xml:space="preserve">Z15: Yedek listeden çağrı yığılması nedeniyle takvim sapması ve akademik takvime yetişememe</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F22: Lisansüstü mezuniyetin istihdam piyasalarında ücret  karşılığının yükselmesi</w:t>
            </w:r>
          </w:p>
          <w:p>
            <w:pPr>
              <w:spacing w:after="40"/>
            </w:pPr>
            <w:r>
              <w:rPr>
                <w:rFonts w:ascii="Times New Roman" w:cs="Times New Roman" w:eastAsia="Times New Roman" w:hAnsi="Times New Roman"/>
                <w:sz w:val="20"/>
                <w:szCs w:val="20"/>
              </w:rPr>
              <w:t xml:space="preserve">F23: Uluslararası öğrenci kabul sürecinde mevzuat kolaylıkları sağlanma olasılığı</w:t>
            </w:r>
          </w:p>
          <w:p>
            <w:pPr>
              <w:spacing w:after="40"/>
            </w:pPr>
            <w:r>
              <w:rPr>
                <w:rFonts w:ascii="Times New Roman" w:cs="Times New Roman" w:eastAsia="Times New Roman" w:hAnsi="Times New Roman"/>
                <w:sz w:val="20"/>
                <w:szCs w:val="20"/>
              </w:rPr>
              <w:t xml:space="preserve">F24: e-Devlet ve karekod tabanlı diploma doğrulama hizmetlerinin yaygınlaşması</w:t>
            </w:r>
          </w:p>
          <w:p>
            <w:pPr>
              <w:spacing w:after="40"/>
            </w:pPr>
            <w:r>
              <w:rPr>
                <w:rFonts w:ascii="Times New Roman" w:cs="Times New Roman" w:eastAsia="Times New Roman" w:hAnsi="Times New Roman"/>
                <w:sz w:val="20"/>
                <w:szCs w:val="20"/>
              </w:rPr>
              <w:t xml:space="preserve">F25: Kamu kadrolarında lisansüstü ek puan / ek gösterge uygulamasının yaygınlaşması / başvuruları artırması</w:t>
            </w:r>
          </w:p>
          <w:p>
            <w:pPr>
              <w:spacing w:after="40"/>
            </w:pPr>
            <w:r>
              <w:rPr>
                <w:rFonts w:ascii="Times New Roman" w:cs="Times New Roman" w:eastAsia="Times New Roman" w:hAnsi="Times New Roman"/>
                <w:sz w:val="20"/>
                <w:szCs w:val="20"/>
              </w:rPr>
              <w:t xml:space="preserve">F26: Lisansüstü uzmanlaşma ihtiyacının artması</w:t>
            </w:r>
          </w:p>
          <w:p>
            <w:pPr>
              <w:spacing w:after="40"/>
            </w:pPr>
            <w:r>
              <w:rPr>
                <w:rFonts w:ascii="Times New Roman" w:cs="Times New Roman" w:eastAsia="Times New Roman" w:hAnsi="Times New Roman"/>
                <w:sz w:val="20"/>
                <w:szCs w:val="20"/>
              </w:rPr>
              <w:t xml:space="preserve">F27: Dijital başvuru altyapılarının gelişmesi</w:t>
            </w:r>
          </w:p>
          <w:p>
            <w:pPr>
              <w:spacing w:after="40"/>
            </w:pPr>
            <w:r>
              <w:rPr>
                <w:rFonts w:ascii="Times New Roman" w:cs="Times New Roman" w:eastAsia="Times New Roman" w:hAnsi="Times New Roman"/>
                <w:sz w:val="20"/>
                <w:szCs w:val="20"/>
              </w:rPr>
              <w:t xml:space="preserve">F28: Kamu sektöründe lisansüstü eğitim kolaylıkları tanınması / teşviki ( izin, görevlendirme, zorunlu öğrenim vb)</w:t>
            </w:r>
          </w:p>
          <w:p>
            <w:pPr>
              <w:spacing w:after="40"/>
            </w:pPr>
            <w:r>
              <w:rPr>
                <w:rFonts w:ascii="Times New Roman" w:cs="Times New Roman" w:eastAsia="Times New Roman" w:hAnsi="Times New Roman"/>
                <w:sz w:val="20"/>
                <w:szCs w:val="20"/>
              </w:rPr>
              <w:t xml:space="preserve">F29: Uzaktan eğitim ve hibrit eğitim teknolojilerinin gelişmesiyle farklı şehirlerden öğrenci başvurularının artma olasılığı</w:t>
            </w:r>
          </w:p>
          <w:p>
            <w:pPr>
              <w:spacing w:after="40"/>
            </w:pPr>
            <w:r>
              <w:rPr>
                <w:rFonts w:ascii="Times New Roman" w:cs="Times New Roman" w:eastAsia="Times New Roman" w:hAnsi="Times New Roman"/>
                <w:sz w:val="20"/>
                <w:szCs w:val="20"/>
              </w:rPr>
              <w:t xml:space="preserve">F55:Yaşam boyu öğrenme ve kariyer dönüşüm eğilimlerinin profesyonel öğrenci kitlesini büyütmesi</w:t>
            </w:r>
          </w:p>
          <w:p>
            <w:pPr>
              <w:spacing w:after="40"/>
            </w:pPr>
            <w:r>
              <w:rPr>
                <w:rFonts w:ascii="Times New Roman" w:cs="Times New Roman" w:eastAsia="Times New Roman" w:hAnsi="Times New Roman"/>
                <w:sz w:val="20"/>
                <w:szCs w:val="20"/>
              </w:rPr>
              <w:t xml:space="preserve">F56:Asenkron-uzaktan öğrenme altyapısının çalışan profesyonele erişim sağlaması</w:t>
            </w:r>
          </w:p>
          <w:p>
            <w:pPr>
              <w:spacing w:after="40"/>
            </w:pPr>
            <w:r>
              <w:rPr>
                <w:rFonts w:ascii="Times New Roman" w:cs="Times New Roman" w:eastAsia="Times New Roman" w:hAnsi="Times New Roman"/>
                <w:sz w:val="20"/>
                <w:szCs w:val="20"/>
              </w:rPr>
              <w:t xml:space="preserve">F57:Vakıf üniversitelerin Pazar genişletme çalışmaları</w:t>
            </w:r>
          </w:p>
          <w:p>
            <w:pPr>
              <w:spacing w:after="40"/>
            </w:pPr>
            <w:r>
              <w:rPr>
                <w:rFonts w:ascii="Times New Roman" w:cs="Times New Roman" w:eastAsia="Times New Roman" w:hAnsi="Times New Roman"/>
                <w:sz w:val="20"/>
                <w:szCs w:val="20"/>
              </w:rPr>
              <w:t xml:space="preserve">F58:Akademik kalite sistemlerinin güçlenmesi</w:t>
            </w:r>
          </w:p>
          <w:p>
            <w:pPr>
              <w:spacing w:after="40"/>
            </w:pPr>
            <w:r>
              <w:rPr>
                <w:rFonts w:ascii="Times New Roman" w:cs="Times New Roman" w:eastAsia="Times New Roman" w:hAnsi="Times New Roman"/>
                <w:sz w:val="20"/>
                <w:szCs w:val="20"/>
              </w:rPr>
              <w:t xml:space="preserve">F59:Uluslararasılaşma imkanlarının ve eğilimlerinin artması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T12:Enflasyon / konut kira artışı vb nedenlerle satın alama gücünde yaşanacak olası sorunlar- öğrenci tercihlerini değiştirmesi</w:t>
            </w:r>
          </w:p>
          <w:p>
            <w:pPr>
              <w:spacing w:after="40"/>
            </w:pPr>
            <w:r>
              <w:rPr>
                <w:rFonts w:ascii="Times New Roman" w:cs="Times New Roman" w:eastAsia="Times New Roman" w:hAnsi="Times New Roman"/>
                <w:sz w:val="20"/>
                <w:szCs w:val="20"/>
              </w:rPr>
              <w:t xml:space="preserve">T21:Vakıf üniversitelerinin asgari kriterleri aşağı çekmesi</w:t>
            </w:r>
          </w:p>
          <w:p>
            <w:pPr>
              <w:spacing w:after="40"/>
            </w:pPr>
            <w:r>
              <w:rPr>
                <w:rFonts w:ascii="Times New Roman" w:cs="Times New Roman" w:eastAsia="Times New Roman" w:hAnsi="Times New Roman"/>
                <w:sz w:val="20"/>
                <w:szCs w:val="20"/>
              </w:rPr>
              <w:t xml:space="preserve">T22:Genç araştırmacı göçü nedeniyle yurt dışı eğitime yönelme</w:t>
            </w:r>
          </w:p>
          <w:p>
            <w:pPr>
              <w:spacing w:after="40"/>
            </w:pPr>
            <w:r>
              <w:rPr>
                <w:rFonts w:ascii="Times New Roman" w:cs="Times New Roman" w:eastAsia="Times New Roman" w:hAnsi="Times New Roman"/>
                <w:sz w:val="20"/>
                <w:szCs w:val="20"/>
              </w:rPr>
              <w:t xml:space="preserve">T23: Üniversiteler arası rekabetin yoğunlaşması</w:t>
            </w:r>
          </w:p>
          <w:p>
            <w:pPr>
              <w:spacing w:after="40"/>
            </w:pPr>
            <w:r>
              <w:rPr>
                <w:rFonts w:ascii="Times New Roman" w:cs="Times New Roman" w:eastAsia="Times New Roman" w:hAnsi="Times New Roman"/>
                <w:sz w:val="20"/>
                <w:szCs w:val="20"/>
              </w:rPr>
              <w:t xml:space="preserve">T24: Başvuru belgelerinde eksiklik/sahtecilik</w:t>
            </w:r>
          </w:p>
          <w:p>
            <w:pPr>
              <w:spacing w:after="40"/>
            </w:pPr>
            <w:r>
              <w:rPr>
                <w:rFonts w:ascii="Times New Roman" w:cs="Times New Roman" w:eastAsia="Times New Roman" w:hAnsi="Times New Roman"/>
                <w:sz w:val="20"/>
                <w:szCs w:val="20"/>
              </w:rPr>
              <w:t xml:space="preserve">ALES, YDS/YÖKDİL puan kontrollerinde ÖSYM/YÖKSİS sistem erişim sorunları</w:t>
            </w:r>
          </w:p>
          <w:p>
            <w:pPr>
              <w:spacing w:after="40"/>
            </w:pPr>
            <w:r>
              <w:rPr>
                <w:rFonts w:ascii="Times New Roman" w:cs="Times New Roman" w:eastAsia="Times New Roman" w:hAnsi="Times New Roman"/>
                <w:sz w:val="20"/>
                <w:szCs w:val="20"/>
              </w:rPr>
              <w:t xml:space="preserve">T25: Uluslararası aday belgelerinin tercüme/noter/apostil doğrulama süreçlerindeki gecikmeler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Sağlık Bilimleri Enstitüsü</w:t>
    </w:r>
  </w:p>
  <w:p>
    <w:pPr>
      <w:spacing w:after="0"/>
      <w:jc w:val="left"/>
    </w:pPr>
    <w:r>
      <w:rPr>
        <w:rFonts w:ascii="Times New Roman" w:cs="Times New Roman" w:eastAsia="Times New Roman" w:hAnsi="Times New Roman"/>
        <w:i/>
        <w:iCs/>
        <w:sz w:val="15"/>
        <w:szCs w:val="15"/>
      </w:rPr>
      <w:t xml:space="preserve">İstiklal Yerleşkesi, Mühendislik-Mimarlık Fakültesi Binası, 15030 BURDUR</w:t>
    </w:r>
  </w:p>
  <w:p>
    <w:pPr>
      <w:spacing w:after="0"/>
      <w:jc w:val="left"/>
    </w:pPr>
    <w:r>
      <w:rPr>
        <w:rFonts w:ascii="Times New Roman" w:cs="Times New Roman" w:eastAsia="Times New Roman" w:hAnsi="Times New Roman"/>
        <w:i/>
        <w:iCs/>
        <w:sz w:val="15"/>
        <w:szCs w:val="15"/>
      </w:rPr>
      <w:t xml:space="preserve">e-posta: sagbil@mehmetakif.edu.tr  •  Tel: +90 248 213 31 80  •  Web: https://sagbil.mehmetakif.edu.tr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SAĞLIK BİLİMLERİ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PK-01.12</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2026-06-09T11:39:13.387Z</dcterms:created>
  <dcterms:modified xsi:type="dcterms:W3CDTF">2026-06-09T11:39:13.387Z</dcterms:modified>
</cp:coreProperties>
</file>

<file path=docProps/custom.xml><?xml version="1.0" encoding="utf-8"?>
<Properties xmlns="http://schemas.openxmlformats.org/officeDocument/2006/custom-properties" xmlns:vt="http://schemas.openxmlformats.org/officeDocument/2006/docPropsVTypes"/>
</file>