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 Önerisi Savunma Süreci-Doktora</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SRC-01.20</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Doktora yeterlik sınavını başarıyla tamamlayan öğrencilerin; tez önerisinin bilimsel nitelik ve uygulanabilirlik açısından değerlendirilmesini, resmi olarak onaylanmasını ve öğrencinin tez  aşamasına geçişinin kayıt altına alınmasını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Danışman Öğretim Üyesi</w:t>
      </w:r>
    </w:p>
    <w:p>
      <w:pPr>
        <w:pStyle w:val="ListParagraph"/>
        <w:numPr>
          <w:ilvl w:val="0"/>
          <w:numId w:val="2"/>
        </w:numPr>
        <w:spacing w:after="20"/>
      </w:pPr>
      <w:r>
        <w:rPr>
          <w:rFonts w:ascii="Times New Roman" w:cs="Times New Roman" w:eastAsia="Times New Roman" w:hAnsi="Times New Roman"/>
          <w:sz w:val="21"/>
          <w:szCs w:val="21"/>
        </w:rPr>
        <w:t xml:space="preserve">Tez İzleme Komitesi (TİK)</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YÖK Lisansüstü Eğitim ve Öğretim Yönetmeliği Madde 21, Burdur Mehmet Akif Ersoy Üniversitesi “Lisansüstü Eğitim-Öğretim ve Sınav Yönetmeliği Madde 29</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Tez önerisi onayı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Öğrencinin, tez önerisini  yeterlik sınav tarihinden itibaren en geç altı ay içinde sözlü savunmadan en az 15 gün önce komite üyelerine ulaştırması (Enstitü tarafından belirlenen akademik takvime uygun olarak). (Enstitünün dahli olmalı mı?)</w:t>
      </w:r>
    </w:p>
    <w:p>
      <w:pPr>
        <w:pStyle w:val="ListParagraph"/>
        <w:numPr>
          <w:ilvl w:val="0"/>
          <w:numId w:val="3"/>
        </w:numPr>
        <w:spacing w:after="20"/>
      </w:pPr>
      <w:r>
        <w:rPr>
          <w:rFonts w:ascii="Times New Roman" w:cs="Times New Roman" w:eastAsia="Times New Roman" w:hAnsi="Times New Roman"/>
          <w:sz w:val="21"/>
          <w:szCs w:val="21"/>
        </w:rPr>
        <w:t xml:space="preserve">Tez önerisi savunmasının yapılması ve tez izleme komitesinin tez önerisi savunma sonucunu değerlendirmesi ( olumlu / olumsuz).</w:t>
      </w:r>
    </w:p>
    <w:p>
      <w:pPr>
        <w:pStyle w:val="ListParagraph"/>
        <w:numPr>
          <w:ilvl w:val="0"/>
          <w:numId w:val="3"/>
        </w:numPr>
        <w:spacing w:after="20"/>
      </w:pPr>
      <w:r>
        <w:rPr>
          <w:rFonts w:ascii="Times New Roman" w:cs="Times New Roman" w:eastAsia="Times New Roman" w:hAnsi="Times New Roman"/>
          <w:sz w:val="21"/>
          <w:szCs w:val="21"/>
        </w:rPr>
        <w:t xml:space="preserve">Tez Önerisi Savunma Tutanağı ve Tez Öneri Formu'nun  aynı tarihte ilgilili EABD / EASD'na teslim edilmesi.</w:t>
      </w:r>
    </w:p>
    <w:p>
      <w:pPr>
        <w:pStyle w:val="ListParagraph"/>
        <w:numPr>
          <w:ilvl w:val="0"/>
          <w:numId w:val="3"/>
        </w:numPr>
        <w:spacing w:after="20"/>
      </w:pPr>
      <w:r>
        <w:rPr>
          <w:rFonts w:ascii="Times New Roman" w:cs="Times New Roman" w:eastAsia="Times New Roman" w:hAnsi="Times New Roman"/>
          <w:sz w:val="21"/>
          <w:szCs w:val="21"/>
        </w:rPr>
        <w:t xml:space="preserve">Tez önerisi savunma sonucunun Tez Önerisi Savunma Tutağı ve  Tez Öneri Formu ile birlikte EABD / EASD tarafından savunma tarihinden itibaren enaz 3 (üç) içinde   enstitüye bildirilmesi.</w:t>
      </w:r>
    </w:p>
    <w:p>
      <w:pPr>
        <w:pStyle w:val="ListParagraph"/>
        <w:numPr>
          <w:ilvl w:val="0"/>
          <w:numId w:val="3"/>
        </w:numPr>
        <w:spacing w:after="20"/>
      </w:pPr>
      <w:r>
        <w:rPr>
          <w:rFonts w:ascii="Times New Roman" w:cs="Times New Roman" w:eastAsia="Times New Roman" w:hAnsi="Times New Roman"/>
          <w:sz w:val="21"/>
          <w:szCs w:val="21"/>
        </w:rPr>
        <w:t xml:space="preserve">EYK kararı alınması ve kararın iligli  EABD / EASD'na ve danışmana bildirilmesi, OBİS'e işlenmesi.</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Yeterlik Sınav Süreci - Doktora; Tez İzleme Komitesi Oluşturma Süreci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Tez İzleme Süreci; Yönetim Kurulu Toplanma ve Karar Alma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H86: Savunma Tutanağı ve Öneri Formunun EABD'den enstitüye 3 iş günü içinde iletilme oranının %100 olması</w:t>
            </w:r>
          </w:p>
          <w:p>
            <w:pPr>
              <w:spacing w:after="40"/>
            </w:pPr>
            <w:r>
              <w:rPr>
                <w:rFonts w:ascii="Times New Roman" w:cs="Times New Roman" w:eastAsia="Times New Roman" w:hAnsi="Times New Roman"/>
                <w:sz w:val="21"/>
                <w:szCs w:val="21"/>
              </w:rPr>
              <w:t xml:space="preserve">H87: EYK karar süresinin 5 iş gününü geçmemesi</w:t>
            </w:r>
          </w:p>
          <w:p>
            <w:pPr>
              <w:spacing w:after="40"/>
            </w:pPr>
            <w:r>
              <w:rPr>
                <w:rFonts w:ascii="Times New Roman" w:cs="Times New Roman" w:eastAsia="Times New Roman" w:hAnsi="Times New Roman"/>
                <w:sz w:val="21"/>
                <w:szCs w:val="21"/>
              </w:rPr>
              <w:t xml:space="preserve">H88: Tebliğ-OBİS işleme süresinin 3 iş gününü geçmemesi</w:t>
            </w:r>
          </w:p>
          <w:p>
            <w:pPr>
              <w:spacing w:after="40"/>
            </w:pPr>
            <w:r>
              <w:rPr>
                <w:rFonts w:ascii="Times New Roman" w:cs="Times New Roman" w:eastAsia="Times New Roman" w:hAnsi="Times New Roman"/>
                <w:sz w:val="21"/>
                <w:szCs w:val="21"/>
              </w:rPr>
              <w:t xml:space="preserve">H89: Eksik/hatalı tutanak / Form iade oranının %5'in altında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P86: Tutanak iletim süresi uyum oranı (%)</w:t>
            </w:r>
          </w:p>
          <w:p>
            <w:pPr>
              <w:spacing w:after="40"/>
            </w:pPr>
            <w:r>
              <w:rPr>
                <w:rFonts w:ascii="Times New Roman" w:cs="Times New Roman" w:eastAsia="Times New Roman" w:hAnsi="Times New Roman"/>
                <w:sz w:val="21"/>
                <w:szCs w:val="21"/>
              </w:rPr>
              <w:t xml:space="preserve">P87: EYK karar süresi (iş günü)</w:t>
            </w:r>
          </w:p>
          <w:p>
            <w:pPr>
              <w:spacing w:after="40"/>
            </w:pPr>
            <w:r>
              <w:rPr>
                <w:rFonts w:ascii="Times New Roman" w:cs="Times New Roman" w:eastAsia="Times New Roman" w:hAnsi="Times New Roman"/>
                <w:sz w:val="21"/>
                <w:szCs w:val="21"/>
              </w:rPr>
              <w:t xml:space="preserve">P88: Tebliğ-OBİS işleme süresi (iş günü)</w:t>
            </w:r>
          </w:p>
          <w:p>
            <w:pPr>
              <w:spacing w:after="40"/>
            </w:pPr>
            <w:r>
              <w:rPr>
                <w:rFonts w:ascii="Times New Roman" w:cs="Times New Roman" w:eastAsia="Times New Roman" w:hAnsi="Times New Roman"/>
                <w:sz w:val="21"/>
                <w:szCs w:val="21"/>
              </w:rPr>
              <w:t xml:space="preserve">P89: Form iade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G12: Standart dilekçe şablonları ile talep kalitesinin artırılması, iade oranının düşürülmesi</w:t>
            </w:r>
          </w:p>
          <w:p>
            <w:pPr>
              <w:spacing w:after="40"/>
            </w:pPr>
            <w:r>
              <w:rPr>
                <w:rFonts w:ascii="Times New Roman" w:cs="Times New Roman" w:eastAsia="Times New Roman" w:hAnsi="Times New Roman"/>
                <w:sz w:val="20"/>
                <w:szCs w:val="20"/>
              </w:rPr>
              <w:t xml:space="preserve">G9: Farklı Disiplinlerden Nitelik ve Nicelik Açsısından Güçlü Akademik Kadro Mevcudiyeti</w:t>
            </w:r>
          </w:p>
          <w:p>
            <w:pPr>
              <w:spacing w:after="40"/>
            </w:pPr>
            <w:r>
              <w:rPr>
                <w:rFonts w:ascii="Times New Roman" w:cs="Times New Roman" w:eastAsia="Times New Roman" w:hAnsi="Times New Roman"/>
                <w:sz w:val="20"/>
                <w:szCs w:val="20"/>
              </w:rPr>
              <w:t xml:space="preserve">G13: Uzaktan/hibrit savunma alt yapılarına sahiplik / erişim imkanı</w:t>
            </w:r>
          </w:p>
          <w:p>
            <w:pPr>
              <w:spacing w:after="40"/>
            </w:pPr>
            <w:r>
              <w:rPr>
                <w:rFonts w:ascii="Times New Roman" w:cs="Times New Roman" w:eastAsia="Times New Roman" w:hAnsi="Times New Roman"/>
                <w:sz w:val="20"/>
                <w:szCs w:val="20"/>
              </w:rPr>
              <w:t xml:space="preserve">G14: Dijital intihal tarama yazılımı kullanımı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Z44: EABD'den tutanak iletiminde gecikme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p>
            <w:pPr>
              <w:spacing w:after="40"/>
            </w:pPr>
            <w:r>
              <w:rPr>
                <w:rFonts w:ascii="Times New Roman" w:cs="Times New Roman" w:eastAsia="Times New Roman" w:hAnsi="Times New Roman"/>
                <w:sz w:val="20"/>
                <w:szCs w:val="20"/>
              </w:rPr>
              <w:t xml:space="preserve">Z45: Tez önerisi metninin TİK üyelerine geç dağıtılması nedeniyle savunmanın ertelenme zorunluluğu</w:t>
            </w:r>
          </w:p>
          <w:p>
            <w:pPr>
              <w:spacing w:after="40"/>
            </w:pPr>
            <w:r>
              <w:rPr>
                <w:rFonts w:ascii="Times New Roman" w:cs="Times New Roman" w:eastAsia="Times New Roman" w:hAnsi="Times New Roman"/>
                <w:sz w:val="20"/>
                <w:szCs w:val="20"/>
              </w:rPr>
              <w:t xml:space="preserve">Z46: Dış kurum TİK üyelerinin yolluk-yevmiye akışında gecikme yaşanması ve katılım caydırıcılığı</w:t>
            </w:r>
          </w:p>
          <w:p>
            <w:pPr>
              <w:spacing w:after="40"/>
            </w:pPr>
            <w:r>
              <w:rPr>
                <w:rFonts w:ascii="Times New Roman" w:cs="Times New Roman" w:eastAsia="Times New Roman" w:hAnsi="Times New Roman"/>
                <w:sz w:val="20"/>
                <w:szCs w:val="20"/>
              </w:rPr>
              <w:t xml:space="preserve">Z47:Aynı dönemde çok sayıda tez önerisi savunmasının yığılması</w:t>
            </w:r>
          </w:p>
          <w:p>
            <w:pPr>
              <w:spacing w:after="40"/>
            </w:pPr>
            <w:r>
              <w:rPr>
                <w:rFonts w:ascii="Times New Roman" w:cs="Times New Roman" w:eastAsia="Times New Roman" w:hAnsi="Times New Roman"/>
                <w:sz w:val="20"/>
                <w:szCs w:val="20"/>
              </w:rPr>
              <w:t xml:space="preserve">Z19: EYK'nın Geç Toplanması- EYK Kararında gecikme</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F45:Çevrim içi savunma imkanlarının gelişmesi</w:t>
            </w:r>
          </w:p>
          <w:p>
            <w:pPr>
              <w:spacing w:after="40"/>
            </w:pPr>
            <w:r>
              <w:rPr>
                <w:rFonts w:ascii="Times New Roman" w:cs="Times New Roman" w:eastAsia="Times New Roman" w:hAnsi="Times New Roman"/>
                <w:sz w:val="20"/>
                <w:szCs w:val="20"/>
              </w:rPr>
              <w:t xml:space="preserve">F46: Hibrit/çevrimiçi savunmanın Uluslararası jüri katılım imkanlarını arttırması</w:t>
            </w:r>
          </w:p>
          <w:p>
            <w:pPr>
              <w:spacing w:after="40"/>
            </w:pPr>
            <w:r>
              <w:rPr>
                <w:rFonts w:ascii="Times New Roman" w:cs="Times New Roman" w:eastAsia="Times New Roman" w:hAnsi="Times New Roman"/>
                <w:sz w:val="20"/>
                <w:szCs w:val="20"/>
              </w:rPr>
              <w:t xml:space="preserve">F48:Çevrim içi savunma imkanlarının benimsenmesi</w:t>
            </w:r>
          </w:p>
          <w:p>
            <w:pPr>
              <w:spacing w:after="40"/>
            </w:pPr>
            <w:r>
              <w:rPr>
                <w:rFonts w:ascii="Times New Roman" w:cs="Times New Roman" w:eastAsia="Times New Roman" w:hAnsi="Times New Roman"/>
                <w:sz w:val="20"/>
                <w:szCs w:val="20"/>
              </w:rPr>
              <w:t xml:space="preserve">F68: Akademik kalite standartlarının güçlenmesi</w:t>
            </w:r>
          </w:p>
          <w:p>
            <w:pPr>
              <w:spacing w:after="40"/>
            </w:pPr>
            <w:r>
              <w:rPr>
                <w:rFonts w:ascii="Times New Roman" w:cs="Times New Roman" w:eastAsia="Times New Roman" w:hAnsi="Times New Roman"/>
                <w:sz w:val="20"/>
                <w:szCs w:val="20"/>
              </w:rPr>
              <w:t xml:space="preserve">F69: Ölçme değerlendirme teknolojilerinin gelişmesi</w:t>
            </w:r>
          </w:p>
          <w:p>
            <w:pPr>
              <w:spacing w:after="40"/>
            </w:pPr>
            <w:r>
              <w:rPr>
                <w:rFonts w:ascii="Times New Roman" w:cs="Times New Roman" w:eastAsia="Times New Roman" w:hAnsi="Times New Roman"/>
                <w:sz w:val="20"/>
                <w:szCs w:val="20"/>
              </w:rPr>
              <w:t xml:space="preserve">F70: Çevrimiçi sınav-ölçme araçlarının çoklu jüri katılımına izin vermesi</w:t>
            </w:r>
          </w:p>
          <w:p>
            <w:pPr>
              <w:spacing w:after="40"/>
            </w:pPr>
            <w:r>
              <w:rPr>
                <w:rFonts w:ascii="Times New Roman" w:cs="Times New Roman" w:eastAsia="Times New Roman" w:hAnsi="Times New Roman"/>
                <w:sz w:val="20"/>
                <w:szCs w:val="20"/>
              </w:rPr>
              <w:t xml:space="preserve">F71: YÖK'ün dış üye katılımını teşvik eden düzenlemelerinin sınav nesnelliğini güçlendirmesi</w:t>
            </w:r>
          </w:p>
          <w:p>
            <w:pPr>
              <w:spacing w:after="40"/>
            </w:pPr>
            <w:r>
              <w:rPr>
                <w:rFonts w:ascii="Times New Roman" w:cs="Times New Roman" w:eastAsia="Times New Roman" w:hAnsi="Times New Roman"/>
                <w:sz w:val="20"/>
                <w:szCs w:val="20"/>
              </w:rPr>
              <w:t xml:space="preserve">F72: Disiplinlerarası TİK kompozisyonu için diğer üniversite ve uluslararası kurumlardan üye sağlanmasının kolaylaşması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T42: Benzerlik  tarama yazılım kullanımında lisans/erişim sorunları</w:t>
            </w:r>
          </w:p>
          <w:p>
            <w:pPr>
              <w:spacing w:after="40"/>
            </w:pPr>
            <w:r>
              <w:rPr>
                <w:rFonts w:ascii="Times New Roman" w:cs="Times New Roman" w:eastAsia="Times New Roman" w:hAnsi="Times New Roman"/>
                <w:sz w:val="20"/>
                <w:szCs w:val="20"/>
              </w:rPr>
              <w:t xml:space="preserve">T43: Çevirim içi süreçlerde / altyapılarda yaşanması muhtemel teknik aksaklıklar</w:t>
            </w:r>
          </w:p>
          <w:p>
            <w:pPr>
              <w:spacing w:after="40"/>
            </w:pPr>
            <w:r>
              <w:rPr>
                <w:rFonts w:ascii="Times New Roman" w:cs="Times New Roman" w:eastAsia="Times New Roman" w:hAnsi="Times New Roman"/>
                <w:sz w:val="20"/>
                <w:szCs w:val="20"/>
              </w:rPr>
              <w:t xml:space="preserve">T44: Jüri takvim uyumsuzlukları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Sağlık Bilimleri Enstitüsü</w:t>
    </w:r>
  </w:p>
  <w:p>
    <w:pPr>
      <w:spacing w:after="0"/>
      <w:jc w:val="left"/>
    </w:pPr>
    <w:r>
      <w:rPr>
        <w:rFonts w:ascii="Times New Roman" w:cs="Times New Roman" w:eastAsia="Times New Roman" w:hAnsi="Times New Roman"/>
        <w:i/>
        <w:iCs/>
        <w:sz w:val="15"/>
        <w:szCs w:val="15"/>
      </w:rPr>
      <w:t xml:space="preserve">İstiklal Yerleşkesi, Mühendislik-Mimarlık Fakültesi Binası, 15030 BURDUR</w:t>
    </w:r>
  </w:p>
  <w:p>
    <w:pPr>
      <w:spacing w:after="0"/>
      <w:jc w:val="left"/>
    </w:pPr>
    <w:r>
      <w:rPr>
        <w:rFonts w:ascii="Times New Roman" w:cs="Times New Roman" w:eastAsia="Times New Roman" w:hAnsi="Times New Roman"/>
        <w:i/>
        <w:iCs/>
        <w:sz w:val="15"/>
        <w:szCs w:val="15"/>
      </w:rPr>
      <w:t xml:space="preserve">e-posta: sagbil@mehmetakif.edu.tr  •  Tel: +90 248 213 31 80  •  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SAĞLIK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PK-01.20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2026-06-09T11:39:13.656Z</dcterms:created>
  <dcterms:modified xsi:type="dcterms:W3CDTF">2026-06-09T11:39:13.656Z</dcterms:modified>
</cp:coreProperties>
</file>

<file path=docProps/custom.xml><?xml version="1.0" encoding="utf-8"?>
<Properties xmlns="http://schemas.openxmlformats.org/officeDocument/2006/custom-properties" xmlns:vt="http://schemas.openxmlformats.org/officeDocument/2006/docPropsVTypes"/>
</file>