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6760"/>
      </w:tblGrid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Sürecin Adı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4"/>
                <w:szCs w:val="24"/>
              </w:rPr>
              <w:t xml:space="preserve">Bursiyer Belirleme Süreci ( Yemek Bursu)</w:t>
            </w:r>
          </w:p>
        </w:tc>
      </w:tr>
    </w:tbl>
    <w:p>
      <w:pPr>
        <w:spacing w:after="6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2080"/>
        <w:gridCol w:w="2600"/>
        <w:gridCol w:w="2080"/>
      </w:tblGrid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Süreç Kodu</w:t>
            </w:r>
          </w:p>
        </w:tc>
        <w:tc>
          <w:tcPr>
            <w:tcW w:type="dxa" w:w="20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SRC-02.12</w:t>
            </w:r>
          </w:p>
        </w:tc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ISO 9001 Şartı</w:t>
            </w:r>
          </w:p>
        </w:tc>
        <w:tc>
          <w:tcPr>
            <w:tcW w:type="dxa" w:w="20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4.4 Kalite yönetim sistemi ve prosesleri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1. SÜRECİN AMACI</w:t>
      </w:r>
    </w:p>
    <w:p>
      <w:pPr>
        <w:spacing w:after="120" w:before="6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Öğrencilerin yemek yardımından yasal olarak belirlenmiş kriterlere uygun bir şekilde faydalanmasını sağlamak için  işleyişi düzenlemektir.</w:t>
      </w: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2. SÜRECİN SORUMLULARI</w:t>
      </w:r>
    </w:p>
    <w:p>
      <w:pPr>
        <w:spacing w:after="0" w:before="40"/>
      </w:pP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1.Enstitü Müdürü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2. Birim Komisyonu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3. Enstitü Sekreteri</w:t>
      </w:r>
    </w:p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3. GİRDİLER ve ÇIKTILAR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Girdiler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Çıktılar</w:t>
            </w:r>
          </w:p>
        </w:tc>
      </w:tr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top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/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top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Bursiyer öğrenci kararı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4. SÜRECİN SIRALI İŞLEMLERİ</w:t>
      </w:r>
    </w:p>
    <w:p>
      <w:pPr>
        <w:spacing w:after="40"/>
      </w:pP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SKS Tarafından önerilen kontenjanların üniversite yönetim kurulu tarafından karara bağlanması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Birim Komisyonlarının Kurulması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Burs ilanının ilgili akademik birim tarafından duyurulması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Yararlanmak isteyen öğrencilerin Yemek Yardım Formu ile akademik birimi müracatı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Birim Komisyonununca Öğle Yemeği Yardım Yönergesinde belirlenen kriterlere göre asıl ve yedek bursiyelerin belirnmesi ve duyurulması</w:t>
      </w:r>
    </w:p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5. SÜREÇ ETKİLEŞİMLERİ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6760"/>
      </w:tblGrid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Etkilendiği Ana Süreçler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İdari ve Mali Süreç</w:t>
            </w:r>
          </w:p>
        </w:tc>
      </w:tr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Etkilediği Ana Süreçler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İdari ve Mali Süreç</w:t>
            </w:r>
          </w:p>
        </w:tc>
      </w:tr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Etkilendiği Alt Süreçler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— (SKS Daire Başkanlığı kontenjan ilanı ile başlar)</w:t>
            </w:r>
          </w:p>
        </w:tc>
      </w:tr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Etkilediği Alt Süreçler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Yönetim Kurulu Toplanma ve Karar Alma Süreci (SRC-02.09)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6. HEDEFLER ve PERFORMANS KRİTERLERİ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Sürece İlişkin Hedefler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Performans Kriterleri</w:t>
            </w:r>
          </w:p>
        </w:tc>
      </w:tr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top"/>
          </w:tcPr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H162: İlanın akademik takvimle uyumlu yayımlanma oranının %100 olması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H163: Başvuru ve değerlendirme süreçlerinin takvime uyum oranının %100 olması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H164: EYK karar süresinin 30 günü geçmemesi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H165: SKS ve öğrencilere tebliğ süresinin 5 iş gününü geçmemesi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H166: İtirazların mevzuat süresi içinde karara bağlanma oranının %100 olması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top"/>
          </w:tcPr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P162: İlan yayım uyum oranı (%)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P163: Takvim uyum oranı (%)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P164: EYK karar süresi (gün)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P165: Tebliğ süresi (iş günü)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P166: İtiraz karar süresi uyum oranı (%)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7. SÜREÇ SWOT ANALİZİ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top"/>
          </w:tcPr>
          <w:p>
            <w:pPr>
              <w:pBdr>
                <w:bottom w:val="single" w:color="BFBFBF" w:sz="4" w:space="2"/>
              </w:pBdr>
              <w:spacing w:after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548235"/>
                <w:sz w:val="22"/>
                <w:szCs w:val="22"/>
              </w:rPr>
              <w:t xml:space="preserve">Güçlü Yönler (G)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G2: Elektronik belge yönetimi ve e-imza altyapısının süreç hızını artırması / Sahip olunan Dijital Alt Yapılar : EBSY-OBİS-Yoklama Sistemi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G11: İlan / Başvuru Süresince Enstitü tarafından Telefon / Yüzyüze / SMS yoluyla Bilgilendirme Hizmeti Verilmesi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top"/>
          </w:tcPr>
          <w:p>
            <w:pPr>
              <w:pBdr>
                <w:bottom w:val="single" w:color="BFBFBF" w:sz="4" w:space="2"/>
              </w:pBdr>
              <w:spacing w:after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C00000"/>
                <w:sz w:val="22"/>
                <w:szCs w:val="22"/>
              </w:rPr>
              <w:t xml:space="preserve">Zayıf Yönler (Z)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Z4: Personel yetersizliği veya iş yükü yoğunluğu nedeniyle işlem sürelerinin uzaması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Z16: Tebliğ ve belge işleme aşamasında manuel veri girişi kaynaklı hatalar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Z68: Öğrenci başvuru belgelerinin manuel kontrol edilmesi ve doğrulama mekanizmasının zayıflığı</w:t>
            </w:r>
          </w:p>
        </w:tc>
      </w:tr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top"/>
          </w:tcPr>
          <w:p>
            <w:pPr>
              <w:pBdr>
                <w:bottom w:val="single" w:color="BFBFBF" w:sz="4" w:space="2"/>
              </w:pBdr>
              <w:spacing w:after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2E5496"/>
                <w:sz w:val="22"/>
                <w:szCs w:val="22"/>
              </w:rPr>
              <w:t xml:space="preserve">Fırsatlar (F)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F108: Dijital başvuru ve değerlendirme sistemlerine geçiş- burs süreçlerinin daha hızlı ve şeffaf yürütülebilmesi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F109:Sosyal destek politikalarına yönelik artan kurumsal farkındalığın öğrenci destek mekanizmalarını güçlendirmesi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F110: Objektif değerlendirme kriterlerinin kullanılmasıyla fırsat eşitliği ve adalet algısının artırılabilmesi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F111: Akademik birimlerin duyuru kanallarını etkin kullanması sayesinde başvuru erişilebilirliğinin artırılabilmesi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top"/>
          </w:tcPr>
          <w:p>
            <w:pPr>
              <w:pBdr>
                <w:bottom w:val="single" w:color="BFBFBF" w:sz="4" w:space="2"/>
              </w:pBdr>
              <w:spacing w:after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C55A11"/>
                <w:sz w:val="22"/>
                <w:szCs w:val="22"/>
              </w:rPr>
              <w:t xml:space="preserve">Tehditler (T)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T77: Başvuru belgelerinde gerçeğe aykırı beyan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T78: SKS Daire Başkanlığı ile veri alışveriş gecikmeleri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T79: Üniversite Yönetim Kurulu kontenjan kararının enstitüye geç ulaşması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8. İLGİLİ MEVZUAT ve DOKÜMANLAR</w:t>
      </w:r>
    </w:p>
    <w:p>
      <w:pPr>
        <w:spacing w:after="40"/>
      </w:pP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2547 sayılı Yükseköğretim Kanunu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YÖK Lisansüstü Eğitim ve Öğretim Yönetmeliği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Burdur Mehmet Akif Ersoy Üniversitesi Lisansüstü Eğitim-Öğretim ve Sınav Yönetmeliği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Burdur Mehmet Akif Ersoy Üniversitesi Senatosu Kararları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TS EN ISO 9001:2015 Kalite Yönetim Sistemi Standardı</w:t>
      </w:r>
    </w:p>
    <w:p>
      <w:pPr>
        <w:spacing w:after="10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9. HAZIRLAYAN / KONTROL EDEN / ONAYLAYAN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0"/>
                <w:szCs w:val="20"/>
              </w:rPr>
              <w:t xml:space="preserve">HAZIRLAYAN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0"/>
                <w:szCs w:val="20"/>
              </w:rPr>
              <w:t xml:space="preserve">KONTROL EDEN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0"/>
                <w:szCs w:val="20"/>
              </w:rPr>
              <w:t xml:space="preserve">ONAYLAYAN</w:t>
            </w:r>
          </w:p>
        </w:tc>
      </w:tr>
      <w:tr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200"/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Kalite Birim Sorumlusu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Ad Soyad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İmza / Tarih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200"/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Enstitü Sekreteri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Ad Soyad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İmza / Tarih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200"/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Enstitü Müdürü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Ad Soyad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İmza / Tarih</w:t>
            </w:r>
          </w:p>
        </w:tc>
      </w:tr>
    </w:tbl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000000" w:sz="6" w:space="4"/>
      </w:pBdr>
      <w:spacing w:after="0" w:before="40"/>
      <w:jc w:val="left"/>
    </w:pPr>
    <w:r>
      <w:rPr>
        <w:rFonts w:ascii="Times New Roman" w:cs="Times New Roman" w:eastAsia="Times New Roman" w:hAnsi="Times New Roman"/>
        <w:i/>
        <w:iCs/>
        <w:sz w:val="15"/>
        <w:szCs w:val="15"/>
      </w:rPr>
      <w:t xml:space="preserve">Burdur Mehmet Akif Ersoy Üniversitesi - Sağlık Bilimleri Enstitüsü</w:t>
    </w:r>
  </w:p>
  <w:p>
    <w:pPr>
      <w:spacing w:after="0"/>
      <w:jc w:val="left"/>
    </w:pPr>
    <w:r>
      <w:rPr>
        <w:rFonts w:ascii="Times New Roman" w:cs="Times New Roman" w:eastAsia="Times New Roman" w:hAnsi="Times New Roman"/>
        <w:i/>
        <w:iCs/>
        <w:sz w:val="15"/>
        <w:szCs w:val="15"/>
      </w:rPr>
      <w:t xml:space="preserve">İstiklal Yerleşkesi, Mühendislik-Mimarlık Fakültesi Binası, 15030 BURDUR</w:t>
    </w:r>
  </w:p>
  <w:p>
    <w:pPr>
      <w:spacing w:after="0"/>
      <w:jc w:val="left"/>
    </w:pPr>
    <w:r>
      <w:rPr>
        <w:rFonts w:ascii="Times New Roman" w:cs="Times New Roman" w:eastAsia="Times New Roman" w:hAnsi="Times New Roman"/>
        <w:i/>
        <w:iCs/>
        <w:sz w:val="15"/>
        <w:szCs w:val="15"/>
      </w:rPr>
      <w:t xml:space="preserve">e-posta: sagbil@mehmetakif.edu.tr  •  Tel: +90 248 213 31 80  •  Web: https://sagbil.mehmetakif.edu.tr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dxa" w:w="9360"/>
      <w:tblBorders>
        <w:top w:val="single" w:color="BFBFBF" w:sz="4"/>
        <w:left w:val="single" w:color="BFBFBF" w:sz="4"/>
        <w:bottom w:val="single" w:color="BFBFBF" w:sz="4"/>
        <w:right w:val="single" w:color="BFBFBF" w:sz="4"/>
        <w:insideH w:val="single" w:color="auto" w:sz="4"/>
        <w:insideV w:val="single" w:color="auto" w:sz="4"/>
      </w:tblBorders>
    </w:tblPr>
    <w:tblGrid>
      <w:gridCol w:w="1340"/>
      <w:gridCol w:w="4900"/>
      <w:gridCol w:w="3120"/>
    </w:tblGrid>
    <w:tr>
      <w:tc>
        <w:tcPr>
          <w:tcW w:type="dxa" w:w="1340"/>
          <w:tcBorders>
            <w:top w:val="single" w:color="BFBFBF" w:sz="4"/>
            <w:left w:val="single" w:color="BFBFBF" w:sz="4"/>
            <w:bottom w:val="single" w:color="BFBFBF" w:sz="4"/>
            <w:right w:val="single" w:color="BFBFBF" w:sz="4"/>
          </w:tcBorders>
          <w:tcMar>
            <w:top w:type="dxa" w:w="40"/>
            <w:left w:type="dxa" w:w="40"/>
            <w:bottom w:type="dxa" w:w="40"/>
            <w:right w:type="dxa" w:w="40"/>
          </w:tcMar>
          <w:vAlign w:val="center"/>
        </w:tcPr>
        <w:p>
          <w:pPr>
            <w:spacing w:after="0"/>
            <w:jc w:val="center"/>
          </w:pPr>
          <w:r>
            <w:drawing>
              <wp:inline distT="0" distB="0" distL="0" distR="0">
                <wp:extent cx="609600" cy="60960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609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4900"/>
          <w:tcBorders>
            <w:top w:val="single" w:color="BFBFBF" w:sz="4"/>
            <w:left w:val="single" w:color="BFBFBF" w:sz="4"/>
            <w:bottom w:val="single" w:color="BFBFBF" w:sz="4"/>
            <w:right w:val="single" w:color="BFBFBF" w:sz="4"/>
          </w:tcBorders>
          <w:tcMar>
            <w:top w:type="dxa" w:w="40"/>
            <w:left w:type="dxa" w:w="80"/>
            <w:bottom w:type="dxa" w:w="40"/>
            <w:right w:type="dxa" w:w="80"/>
          </w:tcMar>
          <w:vAlign w:val="center"/>
        </w:tcPr>
        <w:p>
          <w:pPr>
            <w:spacing w:after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color w:val="392668"/>
              <w:sz w:val="18"/>
              <w:szCs w:val="18"/>
            </w:rPr>
            <w:t xml:space="preserve">T.C.</w:t>
          </w:r>
        </w:p>
        <w:p>
          <w:pPr>
            <w:spacing w:after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color w:val="392668"/>
              <w:sz w:val="18"/>
              <w:szCs w:val="18"/>
            </w:rPr>
            <w:t xml:space="preserve">BURDUR MEHMET AKİF ERSOY ÜNİVERSİTESİ</w:t>
          </w:r>
        </w:p>
        <w:p>
          <w:pPr>
            <w:spacing w:after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color w:val="392668"/>
              <w:sz w:val="18"/>
              <w:szCs w:val="18"/>
            </w:rPr>
            <w:t xml:space="preserve">SAĞLIK BİLİMLERİ ENSTİTÜSÜ</w:t>
          </w:r>
        </w:p>
        <w:p>
          <w:pPr>
            <w:spacing w:after="0" w:before="3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color w:val="E40139"/>
              <w:sz w:val="20"/>
              <w:szCs w:val="20"/>
            </w:rPr>
            <w:t xml:space="preserve">SÜREÇ KARTI</w:t>
          </w:r>
        </w:p>
      </w:tc>
      <w:tc>
        <w:tcPr>
          <w:tcW w:type="dxa" w:w="3120"/>
          <w:tcBorders>
            <w:top w:val="single" w:color="BFBFBF" w:sz="4"/>
            <w:left w:val="single" w:color="BFBFBF" w:sz="4"/>
            <w:bottom w:val="single" w:color="BFBFBF" w:sz="4"/>
            <w:right w:val="single" w:color="BFBFBF" w:sz="4"/>
          </w:tcBorders>
          <w:tcMar>
            <w:top w:type="dxa" w:w="20"/>
            <w:left w:type="dxa" w:w="20"/>
            <w:bottom w:type="dxa" w:w="20"/>
            <w:right w:type="dxa" w:w="20"/>
          </w:tcMar>
          <w:vAlign w:val="center"/>
        </w:tcPr>
        <w:tbl>
          <w:tblPr>
            <w:tblW w:type="dxa" w:w="3120"/>
            <w:tbl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  <w:insideH w:val="single" w:color="auto" w:sz="4"/>
              <w:insideV w:val="single" w:color="auto" w:sz="4"/>
            </w:tblBorders>
          </w:tblPr>
          <w:tblGrid>
            <w:gridCol w:w="1500"/>
            <w:gridCol w:w="1620"/>
          </w:tblGrid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Doküman No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PK-02.12</w:t>
                </w:r>
              </w:p>
            </w:tc>
          </w:tr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Yayın Tarihi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18.06.2026</w:t>
                </w:r>
              </w:p>
            </w:tc>
          </w:tr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Revizyon No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00</w:t>
                </w:r>
              </w:p>
            </w:tc>
          </w:tr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Revizyon Tarihi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—</w:t>
                </w:r>
              </w:p>
            </w:tc>
          </w:tr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Sayfa No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fldChar w:fldCharType="begin"/>
                  <w:instrText xml:space="preserve">PAGE</w:instrText>
                  <w:fldChar w:fldCharType="separate"/>
                  <w:fldChar w:fldCharType="end"/>
                </w: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 / </w:t>
                </w: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fldChar w:fldCharType="begin"/>
                  <w:instrText xml:space="preserve">NUMPAGES</w:instrText>
                  <w:fldChar w:fldCharType="separate"/>
                  <w:fldChar w:fldCharType="end"/>
                </w:r>
              </w:p>
            </w:tc>
          </w:tr>
        </w:tbl>
        <w:p/>
      </w:tc>
    </w:tr>
  </w:tbl>
  <w:p>
    <w:pPr>
      <w:spacing w:after="8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40" w:hanging="2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40" w:hanging="2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e926bc702bab84fa380e74bd934c08e1088a9b91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Öğr. Üyesi Veysel DAL</dc:creator>
  <cp:lastModifiedBy>Dr. Öğr. Üyesi Veysel DAL</cp:lastModifiedBy>
  <cp:revision>1</cp:revision>
  <dcterms:created xsi:type="dcterms:W3CDTF">2026-06-09T11:39:14.342Z</dcterms:created>
  <dcterms:modified xsi:type="dcterms:W3CDTF">2026-06-09T11:39:14.342Z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