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Öğretim Üyesi (Profesör, Doçent veya Doktor Öğretim Üyesi)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Rektör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Kendisine Bağlı Kadrolar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 Yardımcıları, Enstitü Sekreteri, Anabilim Dalı Başkanları ile enstitüde görevli tüm akademik ve idari personel</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Üç yıl için Rektör tarafından atanır; rektörlüğe bağlı enstitülerde atama doğrudan Rektör tarafından yapılır. Süresi biten müdür yeniden atanabilir. (2547 s.K. md. 19/b; Akademik Teşkilat Yön. md. 11/b)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Müdür Yardımcısı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elemanları arasından üç yıl için atanan en çok iki yardımcı bulunur.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Müdüre vekalet etme veya müdürlüğün boşalmasında dekanlara ilişkin hükümler uygulanır; vekalet altı aydan fazla sürerse yeni müdür atanır. (2547 s.K. md. 16, md. 19)</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Müdürü'nün görev, yetki ve sorumluluklarını başta 2547 sayılı Yükseköğretim Kanunu, Üniversitelerde Akademik Teşkilat Yönetmeliği ve 657 sayılı Devlet Memurları Kanunu olmak üzere ilgili mevzuat ile Kalite Yönetim Sistemi gerekliliklerine uygun olarak tanımlamak; enstitünün eğitim-öğretim, bilimsel araştırma ve idari hizmetlerinin etkin, verimli ve sürekli iyileştirmeye açık bir şekilde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Müdürü, 2547 sayılı Kanun'un 19. maddesi gereğince, anılan Kanun ile dekanlara verilmiş olan görevleri enstitü bakımından yerine getirir (Üniversitelerde Akademik Teşkilat Yönetmeliği md. 11). Bu çerçevede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Kurulu'na başkanlık etmek, bu kurulların kararlarını uygulamak ve enstitü birimleri arasında düzenli çalışmayı sağlamak.</w:t>
      </w:r>
      <w:r>
        <w:rPr>
          <w:rFonts w:ascii="Times New Roman" w:cs="Times New Roman" w:eastAsia="Times New Roman" w:hAnsi="Times New Roman"/>
          <w:i/>
          <w:iCs/>
          <w:color w:val="7F7F7F"/>
          <w:sz w:val="16"/>
          <w:szCs w:val="16"/>
        </w:rPr>
        <w:t xml:space="preserve">  (2547 s.K. md. 16/b-1, md. 19; Akademik Teşkilat Yön. md. 8/b-1)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öğretim yılı sonunda ve istenildiğinde enstitünün genel durumu ve işleyişi hakkında Rektöre rapor vermek.</w:t>
      </w:r>
      <w:r>
        <w:rPr>
          <w:rFonts w:ascii="Times New Roman" w:cs="Times New Roman" w:eastAsia="Times New Roman" w:hAnsi="Times New Roman"/>
          <w:i/>
          <w:iCs/>
          <w:color w:val="7F7F7F"/>
          <w:sz w:val="16"/>
          <w:szCs w:val="16"/>
        </w:rPr>
        <w:t xml:space="preserve">  (2547 s.K. md. 16/b-2; Akademik Teşkilat Yön. md. 8/b-2)</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ödenek ve kadro ihtiyaçlarını gerekçesiyle birlikte Rektörlüğe bildirmek; enstitü bütçesi ile ilgili öneriyi Enstitü Yönetim Kurulu'nun görüşünü aldıktan sonra Rektörlüğe sunmak.</w:t>
      </w:r>
      <w:r>
        <w:rPr>
          <w:rFonts w:ascii="Times New Roman" w:cs="Times New Roman" w:eastAsia="Times New Roman" w:hAnsi="Times New Roman"/>
          <w:i/>
          <w:iCs/>
          <w:color w:val="7F7F7F"/>
          <w:sz w:val="16"/>
          <w:szCs w:val="16"/>
        </w:rPr>
        <w:t xml:space="preserve">  (2547 s.K. md. 16/b-3; Akademik Teşkilat Yön. md. 8/b-3)</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birimleri ve her düzeydeki personeli üzerinde genel gözetim ve denetim görevini yürütmek.</w:t>
      </w:r>
      <w:r>
        <w:rPr>
          <w:rFonts w:ascii="Times New Roman" w:cs="Times New Roman" w:eastAsia="Times New Roman" w:hAnsi="Times New Roman"/>
          <w:i/>
          <w:iCs/>
          <w:color w:val="7F7F7F"/>
          <w:sz w:val="16"/>
          <w:szCs w:val="16"/>
        </w:rPr>
        <w:t xml:space="preserve">  (2547 s.K. md. 16/b-4; Akademik Teşkilat Yön. md. 8/b-4)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eğitim-öğretim ve bilimsel araştırma faaliyetlerinin akademik takvime ve mevzuata uygun olarak düzenli biçimde yürütülmesini sağlamak.</w:t>
      </w:r>
      <w:r>
        <w:rPr>
          <w:rFonts w:ascii="Times New Roman" w:cs="Times New Roman" w:eastAsia="Times New Roman" w:hAnsi="Times New Roman"/>
          <w:i/>
          <w:iCs/>
          <w:color w:val="7F7F7F"/>
          <w:sz w:val="16"/>
          <w:szCs w:val="16"/>
        </w:rPr>
        <w:t xml:space="preserve">  (2547 s.K. md. 16/b son fıkra; Lisansüstü Eğitim ve Öğretim Yönetmeliği)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Harcama yetkilisi sıfatıyla enstitü bütçesinin etkin, ekonomik ve verimli kullanılmasını sağlamak.</w:t>
      </w:r>
      <w:r>
        <w:rPr>
          <w:rFonts w:ascii="Times New Roman" w:cs="Times New Roman" w:eastAsia="Times New Roman" w:hAnsi="Times New Roman"/>
          <w:i/>
          <w:iCs/>
          <w:color w:val="7F7F7F"/>
          <w:sz w:val="16"/>
          <w:szCs w:val="16"/>
        </w:rPr>
        <w:t xml:space="preserve">  (5018 s.K. md. 31)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enstitü kalite politikası ve hedeflerinin belirlenmesini, uygulanmasını, izlenmesini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Kanun ve yönetmeliklerle kendisine verilen diğer görevleri yapmak.</w:t>
      </w:r>
      <w:r>
        <w:rPr>
          <w:rFonts w:ascii="Times New Roman" w:cs="Times New Roman" w:eastAsia="Times New Roman" w:hAnsi="Times New Roman"/>
          <w:i/>
          <w:iCs/>
          <w:color w:val="7F7F7F"/>
          <w:sz w:val="16"/>
          <w:szCs w:val="16"/>
        </w:rPr>
        <w:t xml:space="preserve">  (2547 s.K. md. 16/b-5)</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Kurulu ve Enstitü Yönetim Kurulu'nu toplantıya çağırma ve bu kurullara başkanlık etme yetkisi.</w:t>
      </w:r>
      <w:r>
        <w:rPr>
          <w:rFonts w:ascii="Times New Roman" w:cs="Times New Roman" w:eastAsia="Times New Roman" w:hAnsi="Times New Roman"/>
          <w:i/>
          <w:iCs/>
          <w:color w:val="7F7F7F"/>
          <w:sz w:val="16"/>
          <w:szCs w:val="16"/>
        </w:rPr>
        <w:t xml:space="preserve">  (2547 s.K. md. 19/c-d)</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Enstitüde görevli aylıklı öğretim elemanları arasından en çok iki müdür yardımcısı atama ve gerektiğinde değiştirme yetkisi.</w:t>
      </w:r>
      <w:r>
        <w:rPr>
          <w:rFonts w:ascii="Times New Roman" w:cs="Times New Roman" w:eastAsia="Times New Roman" w:hAnsi="Times New Roman"/>
          <w:i/>
          <w:iCs/>
          <w:color w:val="7F7F7F"/>
          <w:sz w:val="16"/>
          <w:szCs w:val="16"/>
        </w:rPr>
        <w:t xml:space="preserve">  (2547 s.K. md. 19/b; Akademik Teşkilat Yön. md. 11/b)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Harcama yetkilisi sıfatıyla mali işlemleri onaylama ve gerçekleştirme görevlilerini belirleme yetkisi.</w:t>
      </w:r>
      <w:r>
        <w:rPr>
          <w:rFonts w:ascii="Times New Roman" w:cs="Times New Roman" w:eastAsia="Times New Roman" w:hAnsi="Times New Roman"/>
          <w:i/>
          <w:iCs/>
          <w:color w:val="7F7F7F"/>
          <w:sz w:val="16"/>
          <w:szCs w:val="16"/>
        </w:rPr>
        <w:t xml:space="preserve">  (5018 s.K. md. 31-33)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Kendisine bağlı, 657 sayılı Kanun'a tabi personel üzerinde amirlik yetkisini mevzuat çerçevesinde kullanma yetkisi.</w:t>
      </w:r>
      <w:r>
        <w:rPr>
          <w:rFonts w:ascii="Times New Roman" w:cs="Times New Roman" w:eastAsia="Times New Roman" w:hAnsi="Times New Roman"/>
          <w:i/>
          <w:iCs/>
          <w:color w:val="7F7F7F"/>
          <w:sz w:val="16"/>
          <w:szCs w:val="16"/>
        </w:rPr>
        <w:t xml:space="preserve">  (657 s.K. md. 10)</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adına resmi yazışma ve belgeleri imzalama ile personele görev dağılımı yapma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Enstitünün ve bağlı birimlerinin öğretim kapasitesinin rasyonel kullanılması ve geliştirilmesinde, gerektiğinde güvenlik önlemlerinin alınmasında, öğrencilere gerekli sosyal hizmetlerin sağlanmasında, eğitim-öğretim ve bilimsel araştırma faaliyetlerinin düzenli yürütülmesinde ve tüm faaliyetlerin gözetim, denetim ve kontrolünde Rektöre karşı birinci derecede sorumludur.</w:t>
      </w:r>
      <w:r>
        <w:rPr>
          <w:rFonts w:ascii="Times New Roman" w:cs="Times New Roman" w:eastAsia="Times New Roman" w:hAnsi="Times New Roman"/>
          <w:i/>
          <w:iCs/>
          <w:color w:val="7F7F7F"/>
          <w:sz w:val="16"/>
          <w:szCs w:val="16"/>
        </w:rPr>
        <w:t xml:space="preserve">  (2547 s.K. md. 16/b son fıkra; Akademik Teşkilat Yön. md. 8/b)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maiyetindeki memurların görevlerini zamanında ve eksiksiz yapmasını sağlamaktan, onları yetiştirmekten, hal ve hareketlerini takip ve kontrol etmekten ve kendilerine hakkaniyet ve 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Anayasa ve kanunlara sadakat, tarafsızlık, gizlilik ve kamu yararı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Harcama yetkilisi olarak harcama talimatlarının bütçe ilke ve esasları ile mevzuata uygunluğundan ve ödeneklerin etkin, ekonomik ve verimli kullanımından sorumludur.</w:t>
      </w:r>
      <w:r>
        <w:rPr>
          <w:rFonts w:ascii="Times New Roman" w:cs="Times New Roman" w:eastAsia="Times New Roman" w:hAnsi="Times New Roman"/>
          <w:i/>
          <w:iCs/>
          <w:color w:val="7F7F7F"/>
          <w:sz w:val="16"/>
          <w:szCs w:val="16"/>
        </w:rPr>
        <w:t xml:space="preserve">  (5018 s.K. md. 32)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Sistemi'nin enstitü genelinde benimsenmesi, uygulanması ve etkinliğinin sürdürülmesinden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2547 sayılı Kanun kapsamında öğretim üyesi (Profesör, Doçent veya Doktor Öğretim Üyesi) olmak. Kanun'un 19. maddesi, enstitü müdürlüğü için (dekanlıktan farklı olarak) belirli bir akademik unvan şartı öngörmez.</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Üç yıl için Rektör tarafından atanmış olmak (rektörlüğe bağlı enstitülerde doğrudan Rektör tarafından).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lisansüstü eğitim-öğretim mevzuatı, kamu personel mevzuatı (657 s.K.) ve kamu mali yönetimi mevzuatına (5018 s.K.)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Yöneticilik, stratejik planlama, koordinasyon, temsil, iletişim, ekip yönetimi ve karar verme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16 ve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8 ve md. 11)</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MAKU EB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ENSTİTÜ MÜDÜRÜ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GT-001</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2026-06-09T10:31:11Z</dcterms:created>
  <dcterms:modified xsi:type="dcterms:W3CDTF">2026-06-09T10:31:11Z</dcterms:modified>
</cp:coreProperties>
</file>

<file path=docProps/custom.xml><?xml version="1.0" encoding="utf-8"?>
<Properties xmlns="http://schemas.openxmlformats.org/officeDocument/2006/custom-properties" xmlns:vt="http://schemas.openxmlformats.org/officeDocument/2006/docPropsVTypes"/>
</file>