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Sürecin Adı</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4"/>
                <w:szCs w:val="24"/>
              </w:rPr>
              <w:t xml:space="preserve">Tezli Yüksek Lisans Programı Başvuru Değerlendirme ve Kabul Süreci</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080"/>
        <w:gridCol w:w="2600"/>
        <w:gridCol w:w="208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Süreç Kodu</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sz w:val="22"/>
                <w:szCs w:val="22"/>
              </w:rPr>
              <w:t xml:space="preserve">SRC-01.05</w:t>
            </w:r>
          </w:p>
        </w:tc>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ISO 9001 Şartı</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sz w:val="21"/>
                <w:szCs w:val="21"/>
              </w:rPr>
              <w:t xml:space="preserve">4.4 Kalite yönetim sistemi ve prosesleri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1. SÜRECİN AMACI</w:t>
      </w:r>
    </w:p>
    <w:p>
      <w:pPr>
        <w:spacing w:after="120" w:before="60"/>
      </w:pPr>
      <w:r>
        <w:rPr>
          <w:rFonts w:ascii="Times New Roman" w:cs="Times New Roman" w:eastAsia="Times New Roman" w:hAnsi="Times New Roman"/>
          <w:sz w:val="22"/>
          <w:szCs w:val="22"/>
        </w:rPr>
        <w:t xml:space="preserve">Tezli yüksek lisans programlarına başvuran adayların, yürürlükteki mevzuat ve Senato kararları doğrultusunda başvuru koşullarını sağlayıp sağlamadıklarının değerlendirilmesi, başarı notlarının hesaplanarak sıralanması ve öğrenci kabul işlemlerinin adil, şeffaf ve mevzuata uygun şekilde gerçekleştirilmesini sağlamaktır.</w:t>
      </w: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2. SÜRECİN SORUMLULARI</w:t>
      </w:r>
    </w:p>
    <w:p>
      <w:pPr>
        <w:spacing w:after="0" w:before="40"/>
      </w:pPr>
    </w:p>
    <w:p>
      <w:pPr>
        <w:pStyle w:val="ListParagraph"/>
        <w:numPr>
          <w:ilvl w:val="0"/>
          <w:numId w:val="2"/>
        </w:numPr>
        <w:spacing w:after="20"/>
      </w:pPr>
      <w:r>
        <w:rPr>
          <w:rFonts w:ascii="Times New Roman" w:cs="Times New Roman" w:eastAsia="Times New Roman" w:hAnsi="Times New Roman"/>
          <w:sz w:val="21"/>
          <w:szCs w:val="21"/>
        </w:rPr>
        <w:t xml:space="preserve">Enstitü Müdürlüğü</w:t>
      </w:r>
    </w:p>
    <w:p>
      <w:pPr>
        <w:pStyle w:val="ListParagraph"/>
        <w:numPr>
          <w:ilvl w:val="0"/>
          <w:numId w:val="2"/>
        </w:numPr>
        <w:spacing w:after="20"/>
      </w:pPr>
      <w:r>
        <w:rPr>
          <w:rFonts w:ascii="Times New Roman" w:cs="Times New Roman" w:eastAsia="Times New Roman" w:hAnsi="Times New Roman"/>
          <w:sz w:val="21"/>
          <w:szCs w:val="21"/>
        </w:rPr>
        <w:t xml:space="preserve">Enstitü Yönetim Kurulu</w:t>
      </w:r>
    </w:p>
    <w:p>
      <w:pPr>
        <w:pStyle w:val="ListParagraph"/>
        <w:numPr>
          <w:ilvl w:val="0"/>
          <w:numId w:val="2"/>
        </w:numPr>
        <w:spacing w:after="20"/>
      </w:pPr>
      <w:r>
        <w:rPr>
          <w:rFonts w:ascii="Times New Roman" w:cs="Times New Roman" w:eastAsia="Times New Roman" w:hAnsi="Times New Roman"/>
          <w:sz w:val="21"/>
          <w:szCs w:val="21"/>
        </w:rPr>
        <w:t xml:space="preserve">Enstitü Anabilim/Anasanat Dalı Başkanlığı</w:t>
      </w:r>
    </w:p>
    <w:p>
      <w:pPr>
        <w:pStyle w:val="ListParagraph"/>
        <w:numPr>
          <w:ilvl w:val="0"/>
          <w:numId w:val="2"/>
        </w:numPr>
        <w:spacing w:after="20"/>
      </w:pPr>
      <w:r>
        <w:rPr>
          <w:rFonts w:ascii="Times New Roman" w:cs="Times New Roman" w:eastAsia="Times New Roman" w:hAnsi="Times New Roman"/>
          <w:sz w:val="21"/>
          <w:szCs w:val="21"/>
        </w:rPr>
        <w:t xml:space="preserve">Değerlendirme Jürisi (Enstitü Anabilim/Anasanat Dalı öğretim üyeleri)</w:t>
      </w:r>
    </w:p>
    <w:p>
      <w:pPr>
        <w:pStyle w:val="ListParagraph"/>
        <w:numPr>
          <w:ilvl w:val="0"/>
          <w:numId w:val="2"/>
        </w:numPr>
        <w:spacing w:after="20"/>
      </w:pPr>
      <w:r>
        <w:rPr>
          <w:rFonts w:ascii="Times New Roman" w:cs="Times New Roman" w:eastAsia="Times New Roman" w:hAnsi="Times New Roman"/>
          <w:sz w:val="21"/>
          <w:szCs w:val="21"/>
        </w:rPr>
        <w:t xml:space="preserve">Enstitü Sekreterliği / Öğrenci İşleri Birimi</w:t>
      </w:r>
    </w:p>
    <w:p>
      <w:pPr>
        <w:pStyle w:val="ListParagraph"/>
        <w:numPr>
          <w:ilvl w:val="0"/>
          <w:numId w:val="2"/>
        </w:numPr>
        <w:spacing w:after="20"/>
      </w:pPr>
      <w:r>
        <w:rPr>
          <w:rFonts w:ascii="Times New Roman" w:cs="Times New Roman" w:eastAsia="Times New Roman" w:hAnsi="Times New Roman"/>
          <w:sz w:val="21"/>
          <w:szCs w:val="21"/>
        </w:rPr>
        <w:t xml:space="preserve">Bilgi İşlem Daire Başkanlığı</w:t>
      </w:r>
    </w:p>
    <w:p>
      <w:pPr>
        <w:pStyle w:val="ListParagraph"/>
        <w:numPr>
          <w:ilvl w:val="0"/>
          <w:numId w:val="2"/>
        </w:numPr>
        <w:spacing w:after="20"/>
      </w:pPr>
      <w:r>
        <w:rPr>
          <w:rFonts w:ascii="Times New Roman" w:cs="Times New Roman" w:eastAsia="Times New Roman" w:hAnsi="Times New Roman"/>
          <w:sz w:val="21"/>
          <w:szCs w:val="21"/>
        </w:rPr>
        <w:t xml:space="preserve">Öğrenci İşleri Daire Başkanlığ</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3. GİRDİLER ve ÇIKTILAR</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Girdiler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Çıktılar</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sz w:val="20"/>
                <w:szCs w:val="20"/>
              </w:rPr>
              <w:t xml:space="preserve">Lisans Diploması, Sağlık Raporu, Denklik Belgesi, ALES Sonuç Belgesi, Yabancı Dil Sınav Sonuç Belgesi, Juri Değerlendirmeleri, Nüfus cüzdanı veya Türkiye Cumhuriyeti kimlik kartı, Transkript belgesi,   YÖK Lisansüstü Eğitim ve Öğretim Yönetmeliği Madde 5, Burdur Mehmet Akif Ersoy Üniversitesi “Lisansüstü Eğitim-Öğretim ve Sınav Yönetmeliği Madde 11 ve 12 EABDAK/EASDAK Kararı, EYK Kararı, Senato Kararı</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b/>
                <w:bCs/>
                <w:sz w:val="20"/>
                <w:szCs w:val="20"/>
              </w:rPr>
              <w:t xml:space="preserve">Kayıt hakkı kazanan adaylar listesi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4. SÜRECİN SIRALI İŞLEMLERİ</w:t>
      </w:r>
    </w:p>
    <w:p>
      <w:pPr>
        <w:spacing w:after="40"/>
      </w:pPr>
    </w:p>
    <w:p>
      <w:pPr>
        <w:pStyle w:val="ListParagraph"/>
        <w:numPr>
          <w:ilvl w:val="0"/>
          <w:numId w:val="3"/>
        </w:numPr>
        <w:spacing w:after="20"/>
      </w:pPr>
      <w:r>
        <w:rPr>
          <w:rFonts w:ascii="Times New Roman" w:cs="Times New Roman" w:eastAsia="Times New Roman" w:hAnsi="Times New Roman"/>
          <w:sz w:val="21"/>
          <w:szCs w:val="21"/>
        </w:rPr>
        <w:t xml:space="preserve">Kontenjan, Başvuru Koşullarının ve takvimin birim ve kurum web sayfasından ilanı.</w:t>
      </w:r>
    </w:p>
    <w:p>
      <w:pPr>
        <w:pStyle w:val="ListParagraph"/>
        <w:numPr>
          <w:ilvl w:val="0"/>
          <w:numId w:val="3"/>
        </w:numPr>
        <w:spacing w:after="20"/>
      </w:pPr>
      <w:r>
        <w:rPr>
          <w:rFonts w:ascii="Times New Roman" w:cs="Times New Roman" w:eastAsia="Times New Roman" w:hAnsi="Times New Roman"/>
          <w:sz w:val="21"/>
          <w:szCs w:val="21"/>
        </w:rPr>
        <w:t xml:space="preserve">Kontenjan ve Şartların OBİS'e Yüklenmesi</w:t>
      </w:r>
    </w:p>
    <w:p>
      <w:pPr>
        <w:pStyle w:val="ListParagraph"/>
        <w:numPr>
          <w:ilvl w:val="0"/>
          <w:numId w:val="3"/>
        </w:numPr>
        <w:spacing w:after="20"/>
      </w:pPr>
      <w:r>
        <w:rPr>
          <w:rFonts w:ascii="Times New Roman" w:cs="Times New Roman" w:eastAsia="Times New Roman" w:hAnsi="Times New Roman"/>
          <w:sz w:val="21"/>
          <w:szCs w:val="21"/>
        </w:rPr>
        <w:t xml:space="preserve">Değerlendirme Jurilerinin belirlenmesi ve  OBİS'e tanımlanması.</w:t>
      </w:r>
    </w:p>
    <w:p>
      <w:pPr>
        <w:pStyle w:val="ListParagraph"/>
        <w:numPr>
          <w:ilvl w:val="0"/>
          <w:numId w:val="3"/>
        </w:numPr>
        <w:spacing w:after="20"/>
      </w:pPr>
      <w:r>
        <w:rPr>
          <w:rFonts w:ascii="Times New Roman" w:cs="Times New Roman" w:eastAsia="Times New Roman" w:hAnsi="Times New Roman"/>
          <w:sz w:val="21"/>
          <w:szCs w:val="21"/>
        </w:rPr>
        <w:t xml:space="preserve">Başvuruların OBİS üzerinden alınması</w:t>
      </w:r>
    </w:p>
    <w:p>
      <w:pPr>
        <w:pStyle w:val="ListParagraph"/>
        <w:numPr>
          <w:ilvl w:val="0"/>
          <w:numId w:val="3"/>
        </w:numPr>
        <w:spacing w:after="20"/>
      </w:pPr>
      <w:r>
        <w:rPr>
          <w:rFonts w:ascii="Times New Roman" w:cs="Times New Roman" w:eastAsia="Times New Roman" w:hAnsi="Times New Roman"/>
          <w:sz w:val="21"/>
          <w:szCs w:val="21"/>
        </w:rPr>
        <w:t xml:space="preserve">Ön değerlendirmelerin yapılması</w:t>
      </w:r>
    </w:p>
    <w:p>
      <w:pPr>
        <w:pStyle w:val="ListParagraph"/>
        <w:numPr>
          <w:ilvl w:val="0"/>
          <w:numId w:val="3"/>
        </w:numPr>
        <w:spacing w:after="20"/>
      </w:pPr>
      <w:r>
        <w:rPr>
          <w:rFonts w:ascii="Times New Roman" w:cs="Times New Roman" w:eastAsia="Times New Roman" w:hAnsi="Times New Roman"/>
          <w:sz w:val="21"/>
          <w:szCs w:val="21"/>
        </w:rPr>
        <w:t xml:space="preserve">Başvuruların nihai olarak değerlendirilmesi</w:t>
      </w:r>
    </w:p>
    <w:p>
      <w:pPr>
        <w:pStyle w:val="ListParagraph"/>
        <w:numPr>
          <w:ilvl w:val="0"/>
          <w:numId w:val="3"/>
        </w:numPr>
        <w:spacing w:after="20"/>
      </w:pPr>
      <w:r>
        <w:rPr>
          <w:rFonts w:ascii="Times New Roman" w:cs="Times New Roman" w:eastAsia="Times New Roman" w:hAnsi="Times New Roman"/>
          <w:sz w:val="21"/>
          <w:szCs w:val="21"/>
        </w:rPr>
        <w:t xml:space="preserve">Sonuçların Adaylara Duyurulması</w:t>
      </w:r>
    </w:p>
    <w:p>
      <w:pPr>
        <w:pStyle w:val="ListParagraph"/>
        <w:numPr>
          <w:ilvl w:val="0"/>
          <w:numId w:val="3"/>
        </w:numPr>
        <w:spacing w:after="20"/>
      </w:pPr>
      <w:r>
        <w:rPr>
          <w:rFonts w:ascii="Times New Roman" w:cs="Times New Roman" w:eastAsia="Times New Roman" w:hAnsi="Times New Roman"/>
          <w:sz w:val="21"/>
          <w:szCs w:val="21"/>
        </w:rPr>
        <w:t xml:space="preserve">Kesin kayıt işlemlerinin  OBİS üzerinden yapılması</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5. SÜREÇ ETKİLEŞİMLERİ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Kontenjanların Belirlenmesi ve İlanı Süreci</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Danışman Ataması Süreci - Tezli YL; Bilimsel Hazırlık Programına Öğrenci Kabul Süreci; Kayıt Yenileme Süreci;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6. HEDEFLER ve PERFORMANS KRİTERLERİ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Sürece İlişkin Hedefler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Performans Kriterleri</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H17: İlan-kesin kayıt takvimine %100 uyum</w:t>
            </w:r>
          </w:p>
          <w:p>
            <w:pPr>
              <w:spacing w:after="40"/>
            </w:pPr>
            <w:r>
              <w:rPr>
                <w:rFonts w:ascii="Times New Roman" w:cs="Times New Roman" w:eastAsia="Times New Roman" w:hAnsi="Times New Roman"/>
                <w:sz w:val="21"/>
                <w:szCs w:val="21"/>
              </w:rPr>
              <w:t xml:space="preserve">H18: Jürilerin ilan tarihinden en geç 5 gün önce OBİS'e tanımlanma oranının %100 olması</w:t>
            </w:r>
          </w:p>
          <w:p>
            <w:pPr>
              <w:spacing w:after="40"/>
            </w:pPr>
            <w:r>
              <w:rPr>
                <w:rFonts w:ascii="Times New Roman" w:cs="Times New Roman" w:eastAsia="Times New Roman" w:hAnsi="Times New Roman"/>
                <w:sz w:val="21"/>
                <w:szCs w:val="21"/>
              </w:rPr>
              <w:t xml:space="preserve">H19: Sonuçların takvim gününde duyurulma oranının %100 olması.</w:t>
            </w:r>
          </w:p>
          <w:p>
            <w:pPr>
              <w:spacing w:after="40"/>
            </w:pPr>
            <w:r>
              <w:rPr>
                <w:rFonts w:ascii="Times New Roman" w:cs="Times New Roman" w:eastAsia="Times New Roman" w:hAnsi="Times New Roman"/>
                <w:sz w:val="21"/>
                <w:szCs w:val="21"/>
              </w:rPr>
              <w:t xml:space="preserve">H20: İtirazların süresi (10 gün) içinde karara bağlanma oranının %100 olması</w:t>
            </w:r>
          </w:p>
          <w:p>
            <w:pPr>
              <w:spacing w:after="40"/>
            </w:pPr>
            <w:r>
              <w:rPr>
                <w:rFonts w:ascii="Times New Roman" w:cs="Times New Roman" w:eastAsia="Times New Roman" w:hAnsi="Times New Roman"/>
                <w:sz w:val="21"/>
                <w:szCs w:val="21"/>
              </w:rPr>
              <w:t xml:space="preserve">H21: Başvuru belgelerinin ön kontrol süresinin başvuru bitiminden sonra her ilan döneminde 5 iş gününü geçmemesi</w:t>
            </w:r>
          </w:p>
          <w:p>
            <w:pPr>
              <w:spacing w:after="40"/>
            </w:pPr>
            <w:r>
              <w:rPr>
                <w:rFonts w:ascii="Times New Roman" w:cs="Times New Roman" w:eastAsia="Times New Roman" w:hAnsi="Times New Roman"/>
                <w:sz w:val="21"/>
                <w:szCs w:val="21"/>
              </w:rPr>
              <w:t xml:space="preserve">H22: Eksik belge bildirimlerinin başvuru sahibine 3 iş günü içinde iletilme oranının dönem başına %100 olması</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P16: Takvim uyum oranı (%)</w:t>
            </w:r>
          </w:p>
          <w:p>
            <w:pPr>
              <w:spacing w:after="40"/>
            </w:pPr>
            <w:r>
              <w:rPr>
                <w:rFonts w:ascii="Times New Roman" w:cs="Times New Roman" w:eastAsia="Times New Roman" w:hAnsi="Times New Roman"/>
                <w:sz w:val="21"/>
                <w:szCs w:val="21"/>
              </w:rPr>
              <w:t xml:space="preserve">P17: Jüri tanımlama süresi (ilan öncesi gün 5 gün) %</w:t>
            </w:r>
          </w:p>
          <w:p>
            <w:pPr>
              <w:spacing w:after="40"/>
            </w:pPr>
            <w:r>
              <w:rPr>
                <w:rFonts w:ascii="Times New Roman" w:cs="Times New Roman" w:eastAsia="Times New Roman" w:hAnsi="Times New Roman"/>
                <w:sz w:val="21"/>
                <w:szCs w:val="21"/>
              </w:rPr>
              <w:t xml:space="preserve">P18: Sonuç ilan uyum oranı (%)</w:t>
            </w:r>
          </w:p>
          <w:p>
            <w:pPr>
              <w:spacing w:after="40"/>
            </w:pPr>
            <w:r>
              <w:rPr>
                <w:rFonts w:ascii="Times New Roman" w:cs="Times New Roman" w:eastAsia="Times New Roman" w:hAnsi="Times New Roman"/>
                <w:sz w:val="21"/>
                <w:szCs w:val="21"/>
              </w:rPr>
              <w:t xml:space="preserve">P19: İtiraz karar süresi uyum oranı (%)</w:t>
            </w:r>
          </w:p>
          <w:p>
            <w:pPr>
              <w:spacing w:after="40"/>
            </w:pPr>
            <w:r>
              <w:rPr>
                <w:rFonts w:ascii="Times New Roman" w:cs="Times New Roman" w:eastAsia="Times New Roman" w:hAnsi="Times New Roman"/>
                <w:sz w:val="21"/>
                <w:szCs w:val="21"/>
              </w:rPr>
              <w:t xml:space="preserve">P20: Ön Kontrol Süresi (gün)</w:t>
            </w:r>
          </w:p>
          <w:p>
            <w:pPr>
              <w:spacing w:after="40"/>
            </w:pPr>
            <w:r>
              <w:rPr>
                <w:rFonts w:ascii="Times New Roman" w:cs="Times New Roman" w:eastAsia="Times New Roman" w:hAnsi="Times New Roman"/>
                <w:sz w:val="21"/>
                <w:szCs w:val="21"/>
              </w:rPr>
              <w:t xml:space="preserve">P21: Eksik belge bildirim (gün)</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7. SÜREÇ SWOT ANALİZİ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548235"/>
                <w:sz w:val="22"/>
                <w:szCs w:val="22"/>
              </w:rPr>
              <w:t xml:space="preserve">Güçlü Yönler (G)</w:t>
            </w:r>
          </w:p>
          <w:p>
            <w:pPr>
              <w:spacing w:after="40"/>
            </w:pPr>
            <w:r>
              <w:rPr>
                <w:rFonts w:ascii="Times New Roman" w:cs="Times New Roman" w:eastAsia="Times New Roman" w:hAnsi="Times New Roman"/>
                <w:sz w:val="20"/>
                <w:szCs w:val="20"/>
              </w:rPr>
              <w:t xml:space="preserve">G2: Elektronik belge yönetimi ve e-imza altyapısının süreç hızını artırması / Sahip olunan Dijital Alt Yapılar : EBSY-OBİS-Yoklama Sistemi</w:t>
            </w:r>
          </w:p>
          <w:p>
            <w:pPr>
              <w:spacing w:after="40"/>
            </w:pPr>
            <w:r>
              <w:rPr>
                <w:rFonts w:ascii="Times New Roman" w:cs="Times New Roman" w:eastAsia="Times New Roman" w:hAnsi="Times New Roman"/>
                <w:sz w:val="20"/>
                <w:szCs w:val="20"/>
              </w:rPr>
              <w:t xml:space="preserve">G10: Aday adaylarına yönelik çevrim içi başvuru rehberi sunulması ile eksik belge oranının düşürülmesi</w:t>
            </w:r>
          </w:p>
          <w:p>
            <w:pPr>
              <w:spacing w:after="40"/>
            </w:pPr>
            <w:r>
              <w:rPr>
                <w:rFonts w:ascii="Times New Roman" w:cs="Times New Roman" w:eastAsia="Times New Roman" w:hAnsi="Times New Roman"/>
                <w:sz w:val="20"/>
                <w:szCs w:val="20"/>
              </w:rPr>
              <w:t xml:space="preserve">G11: İlan / Başvuru Süresince Enstitü tarafından Telefon / Yüzyüze / SMS yoluyla Bilgilendirme Hizmeti Verilmesi</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00000"/>
                <w:sz w:val="22"/>
                <w:szCs w:val="22"/>
              </w:rPr>
              <w:t xml:space="preserve">Zayıf Yönler (Z)</w:t>
            </w:r>
          </w:p>
          <w:p>
            <w:pPr>
              <w:spacing w:after="40"/>
            </w:pPr>
            <w:r>
              <w:rPr>
                <w:rFonts w:ascii="Times New Roman" w:cs="Times New Roman" w:eastAsia="Times New Roman" w:hAnsi="Times New Roman"/>
                <w:sz w:val="20"/>
                <w:szCs w:val="20"/>
              </w:rPr>
              <w:t xml:space="preserve">Z12: Jüri üyelerinin değerlendirme takvimine uyumsuzluğu</w:t>
            </w:r>
          </w:p>
          <w:p>
            <w:pPr>
              <w:spacing w:after="40"/>
            </w:pPr>
            <w:r>
              <w:rPr>
                <w:rFonts w:ascii="Times New Roman" w:cs="Times New Roman" w:eastAsia="Times New Roman" w:hAnsi="Times New Roman"/>
                <w:sz w:val="20"/>
                <w:szCs w:val="20"/>
              </w:rPr>
              <w:t xml:space="preserve">Z13: Sonuç ilanı sonrası itirazların yoğunluğu ve mevzuat süresi içinde sonuçlandırma baskısı</w:t>
            </w:r>
          </w:p>
          <w:p>
            <w:pPr>
              <w:spacing w:after="40"/>
            </w:pPr>
            <w:r>
              <w:rPr>
                <w:rFonts w:ascii="Times New Roman" w:cs="Times New Roman" w:eastAsia="Times New Roman" w:hAnsi="Times New Roman"/>
                <w:sz w:val="20"/>
                <w:szCs w:val="20"/>
              </w:rPr>
              <w:t xml:space="preserve">Z14: Not dönüşümünde YÖK dönüşüm tablosunun yanlış uygulanması</w:t>
            </w:r>
          </w:p>
          <w:p>
            <w:pPr>
              <w:spacing w:after="40"/>
            </w:pPr>
            <w:r>
              <w:rPr>
                <w:rFonts w:ascii="Times New Roman" w:cs="Times New Roman" w:eastAsia="Times New Roman" w:hAnsi="Times New Roman"/>
                <w:sz w:val="20"/>
                <w:szCs w:val="20"/>
              </w:rPr>
              <w:t xml:space="preserve">Z15: Yedek listeden çağrı yığılması nedeniyle takvim sapması ve akademik takvime yetişememe</w:t>
            </w:r>
          </w:p>
          <w:p>
            <w:pPr>
              <w:spacing w:after="40"/>
            </w:pPr>
            <w:r>
              <w:rPr>
                <w:rFonts w:ascii="Times New Roman" w:cs="Times New Roman" w:eastAsia="Times New Roman" w:hAnsi="Times New Roman"/>
                <w:sz w:val="20"/>
                <w:szCs w:val="20"/>
              </w:rPr>
              <w:t xml:space="preserve">Z16:  Tebliğ ve belge işleme aşamasında manuel veri girişi kaynaklı hatalar</w:t>
            </w:r>
          </w:p>
        </w:tc>
      </w:tr>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2E5496"/>
                <w:sz w:val="22"/>
                <w:szCs w:val="22"/>
              </w:rPr>
              <w:t xml:space="preserve">Fırsatlar (F)</w:t>
            </w:r>
          </w:p>
          <w:p>
            <w:pPr>
              <w:spacing w:after="40"/>
            </w:pPr>
            <w:r>
              <w:rPr>
                <w:rFonts w:ascii="Times New Roman" w:cs="Times New Roman" w:eastAsia="Times New Roman" w:hAnsi="Times New Roman"/>
                <w:sz w:val="20"/>
                <w:szCs w:val="20"/>
              </w:rPr>
              <w:t xml:space="preserve">F22: Lisansüstü mezuniyetin istihdam piyasalarında ücret  karşılığının yükselmesi</w:t>
            </w:r>
          </w:p>
          <w:p>
            <w:pPr>
              <w:spacing w:after="40"/>
            </w:pPr>
            <w:r>
              <w:rPr>
                <w:rFonts w:ascii="Times New Roman" w:cs="Times New Roman" w:eastAsia="Times New Roman" w:hAnsi="Times New Roman"/>
                <w:sz w:val="20"/>
                <w:szCs w:val="20"/>
              </w:rPr>
              <w:t xml:space="preserve">F23: Uluslararası öğrenci kabul sürecinde mevzuat kolaylıkları sağlanma olasılığı</w:t>
            </w:r>
          </w:p>
          <w:p>
            <w:pPr>
              <w:spacing w:after="40"/>
            </w:pPr>
            <w:r>
              <w:rPr>
                <w:rFonts w:ascii="Times New Roman" w:cs="Times New Roman" w:eastAsia="Times New Roman" w:hAnsi="Times New Roman"/>
                <w:sz w:val="20"/>
                <w:szCs w:val="20"/>
              </w:rPr>
              <w:t xml:space="preserve">F24: e-Devlet ve karekod tabanlı diploma doğrulama hizmetlerinin yaygınlaşması</w:t>
            </w:r>
          </w:p>
          <w:p>
            <w:pPr>
              <w:spacing w:after="40"/>
            </w:pPr>
            <w:r>
              <w:rPr>
                <w:rFonts w:ascii="Times New Roman" w:cs="Times New Roman" w:eastAsia="Times New Roman" w:hAnsi="Times New Roman"/>
                <w:sz w:val="20"/>
                <w:szCs w:val="20"/>
              </w:rPr>
              <w:t xml:space="preserve">F25: Kamu kadrolarında lisansüstü ek puan / ek gösterge uygulamasının yaygınlaşması / başvuruları artırması</w:t>
            </w:r>
          </w:p>
          <w:p>
            <w:pPr>
              <w:spacing w:after="40"/>
            </w:pPr>
            <w:r>
              <w:rPr>
                <w:rFonts w:ascii="Times New Roman" w:cs="Times New Roman" w:eastAsia="Times New Roman" w:hAnsi="Times New Roman"/>
                <w:sz w:val="20"/>
                <w:szCs w:val="20"/>
              </w:rPr>
              <w:t xml:space="preserve">F26: Lisansüstü uzmanlaşma ihtiyacının artması</w:t>
            </w:r>
          </w:p>
          <w:p>
            <w:pPr>
              <w:spacing w:after="40"/>
            </w:pPr>
            <w:r>
              <w:rPr>
                <w:rFonts w:ascii="Times New Roman" w:cs="Times New Roman" w:eastAsia="Times New Roman" w:hAnsi="Times New Roman"/>
                <w:sz w:val="20"/>
                <w:szCs w:val="20"/>
              </w:rPr>
              <w:t xml:space="preserve">F27: Dijital başvuru altyapılarının gelişmesi</w:t>
            </w:r>
          </w:p>
          <w:p>
            <w:pPr>
              <w:spacing w:after="40"/>
            </w:pPr>
            <w:r>
              <w:rPr>
                <w:rFonts w:ascii="Times New Roman" w:cs="Times New Roman" w:eastAsia="Times New Roman" w:hAnsi="Times New Roman"/>
                <w:sz w:val="20"/>
                <w:szCs w:val="20"/>
              </w:rPr>
              <w:t xml:space="preserve">F28: Kamu sektöründe lisansüstü eğitim kolaylıkları tanınması / teşviki ( izin, görevlendirme, zorunlu öğrenim vb)</w:t>
            </w:r>
          </w:p>
          <w:p>
            <w:pPr>
              <w:spacing w:after="40"/>
            </w:pPr>
            <w:r>
              <w:rPr>
                <w:rFonts w:ascii="Times New Roman" w:cs="Times New Roman" w:eastAsia="Times New Roman" w:hAnsi="Times New Roman"/>
                <w:sz w:val="20"/>
                <w:szCs w:val="20"/>
              </w:rPr>
              <w:t xml:space="preserve">F29: Uzaktan eğitim ve hibrit eğitim teknolojilerinin gelişmesiyle farklı şehirlerden öğrenci başvurularının artma olasılığı</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55A11"/>
                <w:sz w:val="22"/>
                <w:szCs w:val="22"/>
              </w:rPr>
              <w:t xml:space="preserve">Tehditler (T)</w:t>
            </w:r>
          </w:p>
          <w:p>
            <w:pPr>
              <w:spacing w:after="40"/>
            </w:pPr>
            <w:r>
              <w:rPr>
                <w:rFonts w:ascii="Times New Roman" w:cs="Times New Roman" w:eastAsia="Times New Roman" w:hAnsi="Times New Roman"/>
                <w:sz w:val="20"/>
                <w:szCs w:val="20"/>
              </w:rPr>
              <w:t xml:space="preserve">T12:Enflasyon / konut kira artışı vb nedenlerle satın alama gücünde yaşanacak olası sorunlar- öğrenci tercihlerini değiştirmesi</w:t>
            </w:r>
          </w:p>
          <w:p>
            <w:pPr>
              <w:spacing w:after="40"/>
            </w:pPr>
            <w:r>
              <w:rPr>
                <w:rFonts w:ascii="Times New Roman" w:cs="Times New Roman" w:eastAsia="Times New Roman" w:hAnsi="Times New Roman"/>
                <w:sz w:val="20"/>
                <w:szCs w:val="20"/>
              </w:rPr>
              <w:t xml:space="preserve">T21:Vakıf üniversitelerinin asgari kriterleri aşağı çekmesi</w:t>
            </w:r>
          </w:p>
          <w:p>
            <w:pPr>
              <w:spacing w:after="40"/>
            </w:pPr>
            <w:r>
              <w:rPr>
                <w:rFonts w:ascii="Times New Roman" w:cs="Times New Roman" w:eastAsia="Times New Roman" w:hAnsi="Times New Roman"/>
                <w:sz w:val="20"/>
                <w:szCs w:val="20"/>
              </w:rPr>
              <w:t xml:space="preserve">T22:Genç araştırmacı göçü nedeniyle yurt dışı eğitime yönelme</w:t>
            </w:r>
          </w:p>
          <w:p>
            <w:pPr>
              <w:spacing w:after="40"/>
            </w:pPr>
            <w:r>
              <w:rPr>
                <w:rFonts w:ascii="Times New Roman" w:cs="Times New Roman" w:eastAsia="Times New Roman" w:hAnsi="Times New Roman"/>
                <w:sz w:val="20"/>
                <w:szCs w:val="20"/>
              </w:rPr>
              <w:t xml:space="preserve">T23: Üniversiteler arası rekabetin yoğunlaşması</w:t>
            </w:r>
          </w:p>
          <w:p>
            <w:pPr>
              <w:spacing w:after="40"/>
            </w:pPr>
            <w:r>
              <w:rPr>
                <w:rFonts w:ascii="Times New Roman" w:cs="Times New Roman" w:eastAsia="Times New Roman" w:hAnsi="Times New Roman"/>
                <w:sz w:val="20"/>
                <w:szCs w:val="20"/>
              </w:rPr>
              <w:t xml:space="preserve">T24: Başvuru belgelerinde eksiklik/sahtecilik</w:t>
            </w:r>
          </w:p>
          <w:p>
            <w:pPr>
              <w:spacing w:after="40"/>
            </w:pPr>
            <w:r>
              <w:rPr>
                <w:rFonts w:ascii="Times New Roman" w:cs="Times New Roman" w:eastAsia="Times New Roman" w:hAnsi="Times New Roman"/>
                <w:sz w:val="20"/>
                <w:szCs w:val="20"/>
              </w:rPr>
              <w:t xml:space="preserve">ALES, YDS/YÖKDİL puan kontrollerinde ÖSYM/YÖKSİS sistem erişim sorunları</w:t>
            </w:r>
          </w:p>
          <w:p>
            <w:pPr>
              <w:spacing w:after="40"/>
            </w:pPr>
            <w:r>
              <w:rPr>
                <w:rFonts w:ascii="Times New Roman" w:cs="Times New Roman" w:eastAsia="Times New Roman" w:hAnsi="Times New Roman"/>
                <w:sz w:val="20"/>
                <w:szCs w:val="20"/>
              </w:rPr>
              <w:t xml:space="preserve">T25: Uluslararası aday belgelerinin tercüme/noter/apostil doğrulama süreçlerindeki gecikmeler</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8. İLGİLİ MEVZUAT ve DOKÜMANLAR</w:t>
      </w:r>
    </w:p>
    <w:p>
      <w:pPr>
        <w:spacing w:after="40"/>
      </w:pPr>
    </w:p>
    <w:p>
      <w:pPr>
        <w:pStyle w:val="ListParagraph"/>
        <w:numPr>
          <w:ilvl w:val="0"/>
          <w:numId w:val="2"/>
        </w:numPr>
        <w:spacing w:after="30"/>
      </w:pPr>
      <w:r>
        <w:rPr>
          <w:rFonts w:ascii="Times New Roman" w:cs="Times New Roman" w:eastAsia="Times New Roman" w:hAnsi="Times New Roman"/>
          <w:sz w:val="21"/>
          <w:szCs w:val="21"/>
        </w:rPr>
        <w:t xml:space="preserve">2547 sayılı Yükseköğretim Kanunu</w:t>
      </w:r>
    </w:p>
    <w:p>
      <w:pPr>
        <w:pStyle w:val="ListParagraph"/>
        <w:numPr>
          <w:ilvl w:val="0"/>
          <w:numId w:val="2"/>
        </w:numPr>
        <w:spacing w:after="30"/>
      </w:pPr>
      <w:r>
        <w:rPr>
          <w:rFonts w:ascii="Times New Roman" w:cs="Times New Roman" w:eastAsia="Times New Roman" w:hAnsi="Times New Roman"/>
          <w:sz w:val="21"/>
          <w:szCs w:val="21"/>
        </w:rPr>
        <w:t xml:space="preserve">YÖK Lisansüstü Eğitim ve Öğretim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Lisansüstü Eğitim-Öğretim ve Sınav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Senatosu Kararları</w:t>
      </w:r>
    </w:p>
    <w:p>
      <w:pPr>
        <w:pStyle w:val="ListParagraph"/>
        <w:numPr>
          <w:ilvl w:val="0"/>
          <w:numId w:val="2"/>
        </w:numPr>
        <w:spacing w:after="30"/>
      </w:pPr>
      <w:r>
        <w:rPr>
          <w:rFonts w:ascii="Times New Roman" w:cs="Times New Roman" w:eastAsia="Times New Roman" w:hAnsi="Times New Roman"/>
          <w:sz w:val="21"/>
          <w:szCs w:val="21"/>
        </w:rPr>
        <w:t xml:space="preserve">TS EN ISO 9001:2015 Kalite Yönetim Sistemi Standardı</w:t>
      </w:r>
    </w:p>
    <w:p>
      <w:pPr>
        <w:spacing w:after="10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9. HAZIRLAYAN / KONTROL EDEN / ONAYLAYAN</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HAZIRLAYAN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KONTROL EDEN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ONAYLAYAN</w:t>
            </w:r>
          </w:p>
        </w:tc>
      </w:tr>
      <w:tr>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Kalite Birim Sorumlusu</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Sekreteri</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Müdürü</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40"/>
      <w:jc w:val="left"/>
    </w:pPr>
    <w:r>
      <w:rPr>
        <w:rFonts w:ascii="Times New Roman" w:cs="Times New Roman" w:eastAsia="Times New Roman" w:hAnsi="Times New Roman"/>
        <w:i/>
        <w:iCs/>
        <w:sz w:val="15"/>
        <w:szCs w:val="15"/>
      </w:rPr>
      <w:t xml:space="preserve">Burdur Mehmet Akif Ersoy Üniversitesi - Sosyal Bilimler Enstitüsü</w:t>
    </w:r>
  </w:p>
  <w:p>
    <w:pPr>
      <w:spacing w:after="0"/>
      <w:jc w:val="left"/>
    </w:pPr>
    <w:r>
      <w:rPr>
        <w:rFonts w:ascii="Times New Roman" w:cs="Times New Roman" w:eastAsia="Times New Roman" w:hAnsi="Times New Roman"/>
        <w:i/>
        <w:iCs/>
        <w:sz w:val="15"/>
        <w:szCs w:val="15"/>
      </w:rPr>
      <w:t xml:space="preserve">Değirmenler Mah. Cevat Sayılı Bulvarı, İktisadi ve İdari Bilimler Fakültesi C Blok, 15200 BURDUR</w:t>
    </w:r>
  </w:p>
  <w:p>
    <w:pPr>
      <w:spacing w:after="0"/>
      <w:jc w:val="left"/>
    </w:pPr>
    <w:r>
      <w:rPr>
        <w:rFonts w:ascii="Times New Roman" w:cs="Times New Roman" w:eastAsia="Times New Roman" w:hAnsi="Times New Roman"/>
        <w:i/>
        <w:iCs/>
        <w:sz w:val="15"/>
        <w:szCs w:val="15"/>
      </w:rPr>
      <w:t xml:space="preserve">e-posta: sbe@mehmetakif.edu.tr  •  Tel: +90 248 213 31 69  •  Web: https://sbe.mehmetakif.edu.tr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BFBFBF" w:sz="4"/>
        <w:left w:val="single" w:color="BFBFBF" w:sz="4"/>
        <w:bottom w:val="single" w:color="BFBFBF" w:sz="4"/>
        <w:right w:val="single" w:color="BFBFBF"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spacing w:after="0"/>
            <w:jc w:val="center"/>
          </w:pPr>
          <w:r>
            <w:drawing>
              <wp:inline distT="0" distB="0" distL="0" distR="0">
                <wp:extent cx="609600" cy="6096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0"/>
            <w:jc w:val="center"/>
          </w:pPr>
          <w:r>
            <w:rPr>
              <w:rFonts w:ascii="Times New Roman" w:cs="Times New Roman" w:eastAsia="Times New Roman" w:hAnsi="Times New Roman"/>
              <w:b/>
              <w:bCs/>
              <w:color w:val="392668"/>
              <w:sz w:val="18"/>
              <w:szCs w:val="18"/>
            </w:rPr>
            <w:t xml:space="preserve">SOSYAL BİLİMLER ENSTİTÜSÜ</w:t>
          </w:r>
        </w:p>
        <w:p>
          <w:pPr>
            <w:spacing w:after="0" w:before="30"/>
            <w:jc w:val="center"/>
          </w:pPr>
          <w:r>
            <w:rPr>
              <w:rFonts w:ascii="Times New Roman" w:cs="Times New Roman" w:eastAsia="Times New Roman" w:hAnsi="Times New Roman"/>
              <w:b/>
              <w:bCs/>
              <w:color w:val="E40139"/>
              <w:sz w:val="20"/>
              <w:szCs w:val="20"/>
            </w:rPr>
            <w:t xml:space="preserve">SÜREÇ KARTI</w:t>
          </w:r>
        </w:p>
      </w:tc>
      <w:tc>
        <w:tcPr>
          <w:tcW w:type="dxa" w:w="3120"/>
          <w:tcBorders>
            <w:top w:val="single" w:color="BFBFBF" w:sz="4"/>
            <w:left w:val="single" w:color="BFBFBF" w:sz="4"/>
            <w:bottom w:val="single" w:color="BFBFBF" w:sz="4"/>
            <w:right w:val="single" w:color="BFBFBF" w:sz="4"/>
          </w:tcBorders>
          <w:tcMar>
            <w:top w:type="dxa" w:w="20"/>
            <w:left w:type="dxa" w:w="20"/>
            <w:bottom w:type="dxa" w:w="20"/>
            <w:right w:type="dxa" w:w="20"/>
          </w:tcMar>
          <w:vAlign w:val="center"/>
        </w:tcPr>
        <w:tbl>
          <w:tblPr>
            <w:tblW w:type="dxa" w:w="3120"/>
            <w:tblBorders>
              <w:top w:val="single" w:color="BFBFBF" w:sz="4"/>
              <w:left w:val="single" w:color="BFBFBF" w:sz="4"/>
              <w:bottom w:val="single" w:color="BFBFBF" w:sz="4"/>
              <w:right w:val="single" w:color="BFBFBF"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PK-01.05</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60"/>
      </w:pPr>
    </w:lvl>
  </w:abstractNum>
  <w:abstractNum w:abstractNumId="3" w15:restartNumberingAfterBreak="0">
    <w:multiLevelType w:val="hybridMultilevel"/>
    <w:lvl w:ilvl="0" w15:tentative="1">
      <w:start w:val="1"/>
      <w:numFmt w:val="decimal"/>
      <w:lvlText w:val="%1."/>
      <w:lvlJc w:val="left"/>
      <w:pPr>
        <w:ind w:left="44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cp:lastModifiedBy>Dr. Öğr. Üyesi Veysel DAL</cp:lastModifiedBy>
  <cp:revision>1</cp:revision>
  <dcterms:created xsi:type="dcterms:W3CDTF">2026-06-09T11:39:09.925Z</dcterms:created>
  <dcterms:modified xsi:type="dcterms:W3CDTF">2026-06-09T11:39:09.925Z</dcterms:modified>
</cp:coreProperties>
</file>

<file path=docProps/custom.xml><?xml version="1.0" encoding="utf-8"?>
<Properties xmlns="http://schemas.openxmlformats.org/officeDocument/2006/custom-properties" xmlns:vt="http://schemas.openxmlformats.org/officeDocument/2006/docPropsVTypes"/>
</file>