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Doktora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SRC-01.15</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(EABD/EASD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ve Tezli Yüksek Lisans Diploması, Sağlık Raporu, Denklik Belgesi, ALES Belgesi, Yabancı Dil Sınavı Sonuç Belgesi, Juri Değerlendirmeleri, Nüfus cüzdanı veya Türkiye Cumhuriyeti kimlik kartı, Transkrip belgesi,  Denklik Belgesi. YÖK Lisansüstü Eğitim ve Öğretim Yönetmeliği Madde 16, Burdur Mehmet Akif Ersoy Üniversitesi “Lisansüstü Eğitim-Öğretim ve Sınav Yönetmeliği Madde 23 ve 24</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Doktora kayıt hakkı kazanan adaylar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Yazılı / Sözlü Sınavların Sonuçlarının OBİS'e İşlenmesi.</w:t>
      </w:r>
    </w:p>
    <w:p>
      <w:pPr>
        <w:pStyle w:val="ListParagraph"/>
        <w:numPr>
          <w:ilvl w:val="0"/>
          <w:numId w:val="3"/>
        </w:numPr>
        <w:spacing w:after="20"/>
      </w:pPr>
      <w:r>
        <w:rPr>
          <w:rFonts w:ascii="Times New Roman" w:cs="Times New Roman" w:eastAsia="Times New Roman" w:hAnsi="Times New Roman"/>
          <w:sz w:val="21"/>
          <w:szCs w:val="21"/>
        </w:rPr>
        <w:t xml:space="preserve">Başvuru Sonuçlarının nihai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 ( SMS veya E-posta aracılığıyla diğer programlara da eklenecek).</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alınması.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 Yönetim Kurulu Toplanma ve Karar Alma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Doktora; Bilimsel Hazırlık Programına Öğrenci Kabul Süreci; Kayıt Yenileme Süreci; Derslerin açılması, öğretim planları ve ders görevlendirmeleri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H62: İlan-kesin kayıt takvimine %100 uyum</w:t>
            </w:r>
          </w:p>
          <w:p>
            <w:pPr>
              <w:spacing w:after="40"/>
            </w:pPr>
            <w:r>
              <w:rPr>
                <w:rFonts w:ascii="Times New Roman" w:cs="Times New Roman" w:eastAsia="Times New Roman" w:hAnsi="Times New Roman"/>
                <w:sz w:val="21"/>
                <w:szCs w:val="21"/>
              </w:rPr>
              <w:t xml:space="preserve">H63: Jürilerin ilan tarihinden en geç 15 gün önce OBİS'e tanımlanma oranının %100 olması</w:t>
            </w:r>
          </w:p>
          <w:p>
            <w:pPr>
              <w:spacing w:after="40"/>
            </w:pPr>
            <w:r>
              <w:rPr>
                <w:rFonts w:ascii="Times New Roman" w:cs="Times New Roman" w:eastAsia="Times New Roman" w:hAnsi="Times New Roman"/>
                <w:sz w:val="21"/>
                <w:szCs w:val="21"/>
              </w:rPr>
              <w:t xml:space="preserve">H64: Yazılı/sözlü sınav sonuçlarının OBİS'e takvim gününde işlenme oranının %100 olması</w:t>
            </w:r>
          </w:p>
          <w:p>
            <w:pPr>
              <w:spacing w:after="40"/>
            </w:pPr>
            <w:r>
              <w:rPr>
                <w:rFonts w:ascii="Times New Roman" w:cs="Times New Roman" w:eastAsia="Times New Roman" w:hAnsi="Times New Roman"/>
                <w:sz w:val="21"/>
                <w:szCs w:val="21"/>
              </w:rPr>
              <w:t xml:space="preserve">H65: Belge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H66: Eksik belge bildirimlerinin başvuru sahibine 3 iş günü içinde iletilme oranının dönem başına %100 olması</w:t>
            </w:r>
          </w:p>
          <w:p>
            <w:pPr>
              <w:spacing w:after="40"/>
            </w:pPr>
            <w:r>
              <w:rPr>
                <w:rFonts w:ascii="Times New Roman" w:cs="Times New Roman" w:eastAsia="Times New Roman" w:hAnsi="Times New Roman"/>
                <w:sz w:val="21"/>
                <w:szCs w:val="21"/>
              </w:rPr>
              <w:t xml:space="preserve">H67: Sonuçların takvim gününde duyurulma oranının %100 olması</w:t>
            </w:r>
          </w:p>
          <w:p>
            <w:pPr>
              <w:spacing w:after="40"/>
            </w:pPr>
            <w:r>
              <w:rPr>
                <w:rFonts w:ascii="Times New Roman" w:cs="Times New Roman" w:eastAsia="Times New Roman" w:hAnsi="Times New Roman"/>
                <w:sz w:val="21"/>
                <w:szCs w:val="21"/>
              </w:rPr>
              <w:t xml:space="preserve">H68: İtirazların mevzuat süresi ( 10 Gün) içinde karara bağlanma oranının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P62: Takvim uyum oranı (%)</w:t>
            </w:r>
          </w:p>
          <w:p>
            <w:pPr>
              <w:spacing w:after="40"/>
            </w:pPr>
            <w:r>
              <w:rPr>
                <w:rFonts w:ascii="Times New Roman" w:cs="Times New Roman" w:eastAsia="Times New Roman" w:hAnsi="Times New Roman"/>
                <w:sz w:val="21"/>
                <w:szCs w:val="21"/>
              </w:rPr>
              <w:t xml:space="preserve">P63: Jüri tanımlama süresi (ilan öncesi gün)</w:t>
            </w:r>
          </w:p>
          <w:p>
            <w:pPr>
              <w:spacing w:after="40"/>
            </w:pPr>
            <w:r>
              <w:rPr>
                <w:rFonts w:ascii="Times New Roman" w:cs="Times New Roman" w:eastAsia="Times New Roman" w:hAnsi="Times New Roman"/>
                <w:sz w:val="21"/>
                <w:szCs w:val="21"/>
              </w:rPr>
              <w:t xml:space="preserve">P64: Sınav sonucu OBİS işleme süresi (gün)</w:t>
            </w:r>
          </w:p>
          <w:p>
            <w:pPr>
              <w:spacing w:after="40"/>
            </w:pPr>
            <w:r>
              <w:rPr>
                <w:rFonts w:ascii="Times New Roman" w:cs="Times New Roman" w:eastAsia="Times New Roman" w:hAnsi="Times New Roman"/>
                <w:sz w:val="21"/>
                <w:szCs w:val="21"/>
              </w:rPr>
              <w:t xml:space="preserve">P65: Belge Kontrol Süresi (gün)</w:t>
            </w:r>
          </w:p>
          <w:p>
            <w:pPr>
              <w:spacing w:after="40"/>
            </w:pPr>
            <w:r>
              <w:rPr>
                <w:rFonts w:ascii="Times New Roman" w:cs="Times New Roman" w:eastAsia="Times New Roman" w:hAnsi="Times New Roman"/>
                <w:sz w:val="21"/>
                <w:szCs w:val="21"/>
              </w:rPr>
              <w:t xml:space="preserve">P66: Eksik belge bildirim süresi (gün)-(%)</w:t>
            </w:r>
          </w:p>
          <w:p>
            <w:pPr>
              <w:spacing w:after="40"/>
            </w:pPr>
            <w:r>
              <w:rPr>
                <w:rFonts w:ascii="Times New Roman" w:cs="Times New Roman" w:eastAsia="Times New Roman" w:hAnsi="Times New Roman"/>
                <w:sz w:val="21"/>
                <w:szCs w:val="21"/>
              </w:rPr>
              <w:t xml:space="preserve">P67: Sonuç ilan uyum oranı (%)</w:t>
            </w:r>
          </w:p>
          <w:p>
            <w:pPr>
              <w:spacing w:after="40"/>
            </w:pPr>
            <w:r>
              <w:rPr>
                <w:rFonts w:ascii="Times New Roman" w:cs="Times New Roman" w:eastAsia="Times New Roman" w:hAnsi="Times New Roman"/>
                <w:sz w:val="21"/>
                <w:szCs w:val="21"/>
              </w:rPr>
              <w:t xml:space="preserve">P68: İtiraz karar süresi uyum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Z37: Yazılı/sözlü sınav takvim aksaklıkları</w:t>
            </w:r>
          </w:p>
          <w:p>
            <w:pPr>
              <w:spacing w:after="40"/>
            </w:pPr>
            <w:r>
              <w:rPr>
                <w:rFonts w:ascii="Times New Roman" w:cs="Times New Roman" w:eastAsia="Times New Roman" w:hAnsi="Times New Roman"/>
                <w:sz w:val="20"/>
                <w:szCs w:val="20"/>
              </w:rPr>
              <w:t xml:space="preserve">Z38: Başvuru ve değerlendirme sisteminde yaşanması muhtemel teknik aksaklıklar.</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p>
            <w:pPr>
              <w:spacing w:after="40"/>
            </w:pPr>
            <w:r>
              <w:rPr>
                <w:rFonts w:ascii="Times New Roman" w:cs="Times New Roman" w:eastAsia="Times New Roman" w:hAnsi="Times New Roman"/>
                <w:sz w:val="20"/>
                <w:szCs w:val="20"/>
              </w:rPr>
              <w:t xml:space="preserve">F62: Uluslararası ortak doktora açma ve yürütüme olanaklarının genişlemesi</w:t>
            </w:r>
          </w:p>
          <w:p>
            <w:pPr>
              <w:spacing w:after="40"/>
            </w:pPr>
            <w:r>
              <w:rPr>
                <w:rFonts w:ascii="Times New Roman" w:cs="Times New Roman" w:eastAsia="Times New Roman" w:hAnsi="Times New Roman"/>
                <w:sz w:val="20"/>
                <w:szCs w:val="20"/>
              </w:rPr>
              <w:t xml:space="preserve">F63: Savunma, enerji ve biyoteknolojide doktoralı uzman talebinin artması</w:t>
            </w:r>
          </w:p>
          <w:p>
            <w:pPr>
              <w:spacing w:after="40"/>
            </w:pPr>
            <w:r>
              <w:rPr>
                <w:rFonts w:ascii="Times New Roman" w:cs="Times New Roman" w:eastAsia="Times New Roman" w:hAnsi="Times New Roman"/>
                <w:sz w:val="20"/>
                <w:szCs w:val="20"/>
              </w:rPr>
              <w:t xml:space="preserve">F64: Araştırmacı insan kaynağı ihtiyacının artması</w:t>
            </w:r>
          </w:p>
          <w:p>
            <w:pPr>
              <w:spacing w:after="40"/>
            </w:pPr>
            <w:r>
              <w:rPr>
                <w:rFonts w:ascii="Times New Roman" w:cs="Times New Roman" w:eastAsia="Times New Roman" w:hAnsi="Times New Roman"/>
                <w:sz w:val="20"/>
                <w:szCs w:val="20"/>
              </w:rPr>
              <w:t xml:space="preserve">F65: Ulusal ve Uluslararası doktora burs imkanlarının artması</w:t>
            </w:r>
          </w:p>
          <w:p>
            <w:pPr>
              <w:spacing w:after="40"/>
            </w:pPr>
            <w:r>
              <w:rPr>
                <w:rFonts w:ascii="Times New Roman" w:cs="Times New Roman" w:eastAsia="Times New Roman" w:hAnsi="Times New Roman"/>
                <w:sz w:val="20"/>
                <w:szCs w:val="20"/>
              </w:rPr>
              <w:t xml:space="preserve">F66: Öncelikli alan doktora desteklerinin artması</w:t>
            </w:r>
          </w:p>
          <w:p>
            <w:pPr>
              <w:spacing w:after="40"/>
            </w:pPr>
            <w:r>
              <w:rPr>
                <w:rFonts w:ascii="Times New Roman" w:cs="Times New Roman" w:eastAsia="Times New Roman" w:hAnsi="Times New Roman"/>
                <w:sz w:val="20"/>
                <w:szCs w:val="20"/>
              </w:rPr>
              <w:t xml:space="preserve">F67: Yüksek öğrenime önlisans / lisans / lisansüstü düzeyde talebin artması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Sosyal Bilimler Enstitüsü</w:t>
    </w:r>
  </w:p>
  <w:p>
    <w:pPr>
      <w:spacing w:after="0"/>
      <w:jc w:val="left"/>
    </w:pPr>
    <w:r>
      <w:rPr>
        <w:rFonts w:ascii="Times New Roman" w:cs="Times New Roman" w:eastAsia="Times New Roman" w:hAnsi="Times New Roman"/>
        <w:i/>
        <w:iCs/>
        <w:sz w:val="15"/>
        <w:szCs w:val="15"/>
      </w:rPr>
      <w:t xml:space="preserve">Değirmenler Mah. Cevat Sayılı Bulvarı, İktisadi ve İdari Bilimler Fakültesi C Blok, 15200 BURDUR</w:t>
    </w:r>
  </w:p>
  <w:p>
    <w:pPr>
      <w:spacing w:after="0"/>
      <w:jc w:val="left"/>
    </w:pPr>
    <w:r>
      <w:rPr>
        <w:rFonts w:ascii="Times New Roman" w:cs="Times New Roman" w:eastAsia="Times New Roman" w:hAnsi="Times New Roman"/>
        <w:i/>
        <w:iCs/>
        <w:sz w:val="15"/>
        <w:szCs w:val="15"/>
      </w:rPr>
      <w:t xml:space="preserve">e-posta: sbe@mehmetakif.edu.tr  •  Tel: +90 248 213 31 69  •  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SOSYAL BİLİMLER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PK-01.15</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2026-06-09T11:39:10.484Z</dcterms:created>
  <dcterms:modified xsi:type="dcterms:W3CDTF">2026-06-09T11:39:10.484Z</dcterms:modified>
</cp:coreProperties>
</file>

<file path=docProps/custom.xml><?xml version="1.0" encoding="utf-8"?>
<Properties xmlns="http://schemas.openxmlformats.org/officeDocument/2006/custom-properties" xmlns:vt="http://schemas.openxmlformats.org/officeDocument/2006/docPropsVTypes"/>
</file>