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Sürecin Adı</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4"/>
                <w:szCs w:val="24"/>
              </w:rPr>
              <w:t xml:space="preserve">Tez Önerisi Savunma Süreci-Doktora</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080"/>
        <w:gridCol w:w="2600"/>
        <w:gridCol w:w="208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Süreç Kodu</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sz w:val="22"/>
                <w:szCs w:val="22"/>
              </w:rPr>
              <w:t xml:space="preserve">SRC-01.20</w:t>
            </w:r>
          </w:p>
        </w:tc>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ISO 9001 Şartı</w:t>
            </w:r>
          </w:p>
        </w:tc>
        <w:tc>
          <w:tcPr>
            <w:tcW w:type="dxa" w:w="20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sz w:val="21"/>
                <w:szCs w:val="21"/>
              </w:rPr>
              <w:t xml:space="preserve">4.4 Kalite yönetim sistemi ve prosesleri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1. SÜRECİN AMACI</w:t>
      </w:r>
    </w:p>
    <w:p>
      <w:pPr>
        <w:spacing w:after="120" w:before="60"/>
      </w:pPr>
      <w:r>
        <w:rPr>
          <w:rFonts w:ascii="Times New Roman" w:cs="Times New Roman" w:eastAsia="Times New Roman" w:hAnsi="Times New Roman"/>
          <w:sz w:val="22"/>
          <w:szCs w:val="22"/>
        </w:rPr>
        <w:t xml:space="preserve">Doktora yeterlik sınavını başarıyla tamamlayan öğrencilerin; tez önerisinin bilimsel nitelik ve uygulanabilirlik açısından değerlendirilmesini, resmi olarak onaylanmasını ve öğrencinin tez  aşamasına geçişinin kayıt altına alınmasını sağlamaktır.</w:t>
      </w: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2. SÜRECİN SORUMLULARI</w:t>
      </w:r>
    </w:p>
    <w:p>
      <w:pPr>
        <w:spacing w:after="0" w:before="40"/>
      </w:pPr>
    </w:p>
    <w:p>
      <w:pPr>
        <w:pStyle w:val="ListParagraph"/>
        <w:numPr>
          <w:ilvl w:val="0"/>
          <w:numId w:val="2"/>
        </w:numPr>
        <w:spacing w:after="20"/>
      </w:pPr>
      <w:r>
        <w:rPr>
          <w:rFonts w:ascii="Times New Roman" w:cs="Times New Roman" w:eastAsia="Times New Roman" w:hAnsi="Times New Roman"/>
          <w:sz w:val="21"/>
          <w:szCs w:val="21"/>
        </w:rPr>
        <w:t xml:space="preserve">Enstitü Müdürlüğü</w:t>
      </w:r>
    </w:p>
    <w:p>
      <w:pPr>
        <w:pStyle w:val="ListParagraph"/>
        <w:numPr>
          <w:ilvl w:val="0"/>
          <w:numId w:val="2"/>
        </w:numPr>
        <w:spacing w:after="20"/>
      </w:pPr>
      <w:r>
        <w:rPr>
          <w:rFonts w:ascii="Times New Roman" w:cs="Times New Roman" w:eastAsia="Times New Roman" w:hAnsi="Times New Roman"/>
          <w:sz w:val="21"/>
          <w:szCs w:val="21"/>
        </w:rPr>
        <w:t xml:space="preserve">Enstitü Yönetim Kurulu (EYK)</w:t>
      </w:r>
    </w:p>
    <w:p>
      <w:pPr>
        <w:pStyle w:val="ListParagraph"/>
        <w:numPr>
          <w:ilvl w:val="0"/>
          <w:numId w:val="2"/>
        </w:numPr>
        <w:spacing w:after="20"/>
      </w:pPr>
      <w:r>
        <w:rPr>
          <w:rFonts w:ascii="Times New Roman" w:cs="Times New Roman" w:eastAsia="Times New Roman" w:hAnsi="Times New Roman"/>
          <w:sz w:val="21"/>
          <w:szCs w:val="21"/>
        </w:rPr>
        <w:t xml:space="preserve">Enstitü Anabilim/Anasanat Dalı Başkanlığı</w:t>
      </w:r>
    </w:p>
    <w:p>
      <w:pPr>
        <w:pStyle w:val="ListParagraph"/>
        <w:numPr>
          <w:ilvl w:val="0"/>
          <w:numId w:val="2"/>
        </w:numPr>
        <w:spacing w:after="20"/>
      </w:pPr>
      <w:r>
        <w:rPr>
          <w:rFonts w:ascii="Times New Roman" w:cs="Times New Roman" w:eastAsia="Times New Roman" w:hAnsi="Times New Roman"/>
          <w:sz w:val="21"/>
          <w:szCs w:val="21"/>
        </w:rPr>
        <w:t xml:space="preserve">Danışman Öğretim Üyesi</w:t>
      </w:r>
    </w:p>
    <w:p>
      <w:pPr>
        <w:pStyle w:val="ListParagraph"/>
        <w:numPr>
          <w:ilvl w:val="0"/>
          <w:numId w:val="2"/>
        </w:numPr>
        <w:spacing w:after="20"/>
      </w:pPr>
      <w:r>
        <w:rPr>
          <w:rFonts w:ascii="Times New Roman" w:cs="Times New Roman" w:eastAsia="Times New Roman" w:hAnsi="Times New Roman"/>
          <w:sz w:val="21"/>
          <w:szCs w:val="21"/>
        </w:rPr>
        <w:t xml:space="preserve">Tez İzleme Komitesi (TİK)</w:t>
      </w:r>
    </w:p>
    <w:p>
      <w:pPr>
        <w:pStyle w:val="ListParagraph"/>
        <w:numPr>
          <w:ilvl w:val="0"/>
          <w:numId w:val="2"/>
        </w:numPr>
        <w:spacing w:after="20"/>
      </w:pPr>
      <w:r>
        <w:rPr>
          <w:rFonts w:ascii="Times New Roman" w:cs="Times New Roman" w:eastAsia="Times New Roman" w:hAnsi="Times New Roman"/>
          <w:sz w:val="21"/>
          <w:szCs w:val="21"/>
        </w:rPr>
        <w:t xml:space="preserve">Enstitü Sekreterliği / Öğrenci İşleri Birimi</w:t>
      </w:r>
    </w:p>
    <w:p>
      <w:pPr>
        <w:pStyle w:val="ListParagraph"/>
        <w:numPr>
          <w:ilvl w:val="0"/>
          <w:numId w:val="2"/>
        </w:numPr>
        <w:spacing w:after="20"/>
      </w:pPr>
      <w:r>
        <w:rPr>
          <w:rFonts w:ascii="Times New Roman" w:cs="Times New Roman" w:eastAsia="Times New Roman" w:hAnsi="Times New Roman"/>
          <w:sz w:val="21"/>
          <w:szCs w:val="21"/>
        </w:rPr>
        <w:t xml:space="preserve">Öğrenci İşleri Daire Başkanlığı</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3. GİRDİLER ve ÇIKTILAR</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Girdiler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Çıktılar</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sz w:val="20"/>
                <w:szCs w:val="20"/>
              </w:rPr>
              <w:t xml:space="preserve">YÖK Lisansüstü Eğitim ve Öğretim Yönetmeliği Madde 21, Burdur Mehmet Akif Ersoy Üniversitesi “Lisansüstü Eğitim-Öğretim ve Sınav Yönetmeliği Madde 29</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0"/>
            </w:pPr>
            <w:r>
              <w:rPr>
                <w:rFonts w:ascii="Times New Roman" w:cs="Times New Roman" w:eastAsia="Times New Roman" w:hAnsi="Times New Roman"/>
                <w:b/>
                <w:bCs/>
                <w:sz w:val="20"/>
                <w:szCs w:val="20"/>
              </w:rPr>
              <w:t xml:space="preserve">Tez önerisi onayı</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4. SÜRECİN SIRALI İŞLEMLERİ</w:t>
      </w:r>
    </w:p>
    <w:p>
      <w:pPr>
        <w:spacing w:after="40"/>
      </w:pPr>
    </w:p>
    <w:p>
      <w:pPr>
        <w:pStyle w:val="ListParagraph"/>
        <w:numPr>
          <w:ilvl w:val="0"/>
          <w:numId w:val="3"/>
        </w:numPr>
        <w:spacing w:after="20"/>
      </w:pPr>
      <w:r>
        <w:rPr>
          <w:rFonts w:ascii="Times New Roman" w:cs="Times New Roman" w:eastAsia="Times New Roman" w:hAnsi="Times New Roman"/>
          <w:sz w:val="21"/>
          <w:szCs w:val="21"/>
        </w:rPr>
        <w:t xml:space="preserve">Öğrencinin, tez önerisini  yeterlik sınav tarihinden itibaren en geç altı ay içinde sözlü savunmadan en az 15 gün önce komite üyelerine ulaştırması (Enstitü tarafından belirlenen akademik takvime uygun olarak). (Enstitünün dahli olmalı mı?)</w:t>
      </w:r>
    </w:p>
    <w:p>
      <w:pPr>
        <w:pStyle w:val="ListParagraph"/>
        <w:numPr>
          <w:ilvl w:val="0"/>
          <w:numId w:val="3"/>
        </w:numPr>
        <w:spacing w:after="20"/>
      </w:pPr>
      <w:r>
        <w:rPr>
          <w:rFonts w:ascii="Times New Roman" w:cs="Times New Roman" w:eastAsia="Times New Roman" w:hAnsi="Times New Roman"/>
          <w:sz w:val="21"/>
          <w:szCs w:val="21"/>
        </w:rPr>
        <w:t xml:space="preserve">Tez önerisi savunmasının yapılması ve tez izleme komitesinin tez önerisi savunma sonucunu değerlendirmesi ( olumlu / olumsuz).</w:t>
      </w:r>
    </w:p>
    <w:p>
      <w:pPr>
        <w:pStyle w:val="ListParagraph"/>
        <w:numPr>
          <w:ilvl w:val="0"/>
          <w:numId w:val="3"/>
        </w:numPr>
        <w:spacing w:after="20"/>
      </w:pPr>
      <w:r>
        <w:rPr>
          <w:rFonts w:ascii="Times New Roman" w:cs="Times New Roman" w:eastAsia="Times New Roman" w:hAnsi="Times New Roman"/>
          <w:sz w:val="21"/>
          <w:szCs w:val="21"/>
        </w:rPr>
        <w:t xml:space="preserve">Tez Önerisi Savunma Tutanağı ve Tez Öneri Formu'nun  aynı tarihte ilgilili EABD / EASD'na teslim edilmesi.</w:t>
      </w:r>
    </w:p>
    <w:p>
      <w:pPr>
        <w:pStyle w:val="ListParagraph"/>
        <w:numPr>
          <w:ilvl w:val="0"/>
          <w:numId w:val="3"/>
        </w:numPr>
        <w:spacing w:after="20"/>
      </w:pPr>
      <w:r>
        <w:rPr>
          <w:rFonts w:ascii="Times New Roman" w:cs="Times New Roman" w:eastAsia="Times New Roman" w:hAnsi="Times New Roman"/>
          <w:sz w:val="21"/>
          <w:szCs w:val="21"/>
        </w:rPr>
        <w:t xml:space="preserve">Tez önerisi savunma sonucunun Tez Önerisi Savunma Tutağı ve  Tez Öneri Formu ile birlikte EABD / EASD tarafından savunma tarihinden itibaren enaz 3 (üç) içinde   enstitüye bildirilmesi.</w:t>
      </w:r>
    </w:p>
    <w:p>
      <w:pPr>
        <w:pStyle w:val="ListParagraph"/>
        <w:numPr>
          <w:ilvl w:val="0"/>
          <w:numId w:val="3"/>
        </w:numPr>
        <w:spacing w:after="20"/>
      </w:pPr>
      <w:r>
        <w:rPr>
          <w:rFonts w:ascii="Times New Roman" w:cs="Times New Roman" w:eastAsia="Times New Roman" w:hAnsi="Times New Roman"/>
          <w:sz w:val="21"/>
          <w:szCs w:val="21"/>
        </w:rPr>
        <w:t xml:space="preserve">EYK kararı alınması ve kararın iligli  EABD / EASD'na ve danışmana bildirilmesi, OBİS'e işlenmesi.</w:t>
      </w:r>
    </w:p>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5. SÜREÇ ETKİLEŞİMLERİ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Ana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Akademik Süreç</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Etkilendiği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Yeterlik Sınav Süreci - Doktora; Tez İzleme Komitesi Oluşturma Süreci Süreci</w:t>
            </w:r>
          </w:p>
        </w:tc>
      </w:tr>
      <w:tr>
        <w:tc>
          <w:tcPr>
            <w:tcW w:type="dxa" w:w="260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b/>
                <w:bCs/>
                <w:color w:val="392668"/>
                <w:sz w:val="22"/>
                <w:szCs w:val="22"/>
              </w:rPr>
              <w:t xml:space="preserve">Etkilediği Alt Süreçler</w:t>
            </w:r>
          </w:p>
        </w:tc>
        <w:tc>
          <w:tcPr>
            <w:tcW w:type="dxa" w:w="6760"/>
            <w:tcBorders>
              <w:top w:val="single" w:color="BFBFBF" w:sz="4"/>
              <w:left w:val="single" w:color="BFBFBF" w:sz="4"/>
              <w:bottom w:val="single" w:color="BFBFBF" w:sz="4"/>
              <w:right w:val="single" w:color="BFBFBF" w:sz="4"/>
            </w:tcBorders>
            <w:tcMar>
              <w:top w:type="dxa" w:w="50"/>
              <w:left w:type="dxa" w:w="120"/>
              <w:bottom w:type="dxa" w:w="50"/>
              <w:right w:type="dxa" w:w="120"/>
            </w:tcMar>
            <w:vAlign w:val="center"/>
          </w:tcPr>
          <w:p>
            <w:pPr>
              <w:spacing w:after="0"/>
            </w:pPr>
            <w:r>
              <w:rPr>
                <w:rFonts w:ascii="Times New Roman" w:cs="Times New Roman" w:eastAsia="Times New Roman" w:hAnsi="Times New Roman"/>
                <w:sz w:val="22"/>
                <w:szCs w:val="22"/>
              </w:rPr>
              <w:t xml:space="preserve">Tez İzleme Süreci; Yönetim Kurulu Toplanma ve Karar Alma Süreci</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6. HEDEFLER ve PERFORMANS KRİTERLERİ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Sürece İlişkin Hedefler</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tcPr>
          <w:p>
            <w:pPr>
              <w:spacing w:after="0"/>
            </w:pPr>
            <w:r>
              <w:rPr>
                <w:rFonts w:ascii="Times New Roman" w:cs="Times New Roman" w:eastAsia="Times New Roman" w:hAnsi="Times New Roman"/>
                <w:b/>
                <w:bCs/>
                <w:color w:val="392668"/>
                <w:sz w:val="22"/>
                <w:szCs w:val="22"/>
              </w:rPr>
              <w:t xml:space="preserve">Performans Kriterleri</w:t>
            </w:r>
          </w:p>
        </w:tc>
      </w:tr>
      <w:tr>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H86: Savunma Tutanağı ve Öneri Formunun EABD'den enstitüye 3 iş günü içinde iletilme oranının %100 olması</w:t>
            </w:r>
          </w:p>
          <w:p>
            <w:pPr>
              <w:spacing w:after="40"/>
            </w:pPr>
            <w:r>
              <w:rPr>
                <w:rFonts w:ascii="Times New Roman" w:cs="Times New Roman" w:eastAsia="Times New Roman" w:hAnsi="Times New Roman"/>
                <w:sz w:val="21"/>
                <w:szCs w:val="21"/>
              </w:rPr>
              <w:t xml:space="preserve">H87: EYK karar süresinin 5 iş gününü geçmemesi</w:t>
            </w:r>
          </w:p>
          <w:p>
            <w:pPr>
              <w:spacing w:after="40"/>
            </w:pPr>
            <w:r>
              <w:rPr>
                <w:rFonts w:ascii="Times New Roman" w:cs="Times New Roman" w:eastAsia="Times New Roman" w:hAnsi="Times New Roman"/>
                <w:sz w:val="21"/>
                <w:szCs w:val="21"/>
              </w:rPr>
              <w:t xml:space="preserve">H88: Tebliğ-OBİS işleme süresinin 3 iş gününü geçmemesi</w:t>
            </w:r>
          </w:p>
          <w:p>
            <w:pPr>
              <w:spacing w:after="40"/>
            </w:pPr>
            <w:r>
              <w:rPr>
                <w:rFonts w:ascii="Times New Roman" w:cs="Times New Roman" w:eastAsia="Times New Roman" w:hAnsi="Times New Roman"/>
                <w:sz w:val="21"/>
                <w:szCs w:val="21"/>
              </w:rPr>
              <w:t xml:space="preserve">H89: Eksik/hatalı tutanak / Form iade oranının %5'in altında olması</w:t>
            </w:r>
          </w:p>
        </w:tc>
        <w:tc>
          <w:tcPr>
            <w:tcW w:type="dxa" w:w="4680"/>
            <w:tcBorders>
              <w:top w:val="single" w:color="BFBFBF" w:sz="4"/>
              <w:left w:val="single" w:color="BFBFBF" w:sz="4"/>
              <w:bottom w:val="single" w:color="BFBFBF" w:sz="4"/>
              <w:right w:val="single" w:color="BFBFBF" w:sz="4"/>
            </w:tcBorders>
            <w:tcMar>
              <w:top w:type="dxa" w:w="50"/>
              <w:left w:type="dxa" w:w="120"/>
              <w:bottom w:type="dxa" w:w="50"/>
              <w:right w:type="dxa" w:w="120"/>
            </w:tcMar>
            <w:vAlign w:val="top"/>
          </w:tcPr>
          <w:p>
            <w:pPr>
              <w:spacing w:after="40"/>
            </w:pPr>
            <w:r>
              <w:rPr>
                <w:rFonts w:ascii="Times New Roman" w:cs="Times New Roman" w:eastAsia="Times New Roman" w:hAnsi="Times New Roman"/>
                <w:sz w:val="21"/>
                <w:szCs w:val="21"/>
              </w:rPr>
              <w:t xml:space="preserve">P86: Tutanak iletim süresi uyum oranı (%)</w:t>
            </w:r>
          </w:p>
          <w:p>
            <w:pPr>
              <w:spacing w:after="40"/>
            </w:pPr>
            <w:r>
              <w:rPr>
                <w:rFonts w:ascii="Times New Roman" w:cs="Times New Roman" w:eastAsia="Times New Roman" w:hAnsi="Times New Roman"/>
                <w:sz w:val="21"/>
                <w:szCs w:val="21"/>
              </w:rPr>
              <w:t xml:space="preserve">P87: EYK karar süresi (iş günü)</w:t>
            </w:r>
          </w:p>
          <w:p>
            <w:pPr>
              <w:spacing w:after="40"/>
            </w:pPr>
            <w:r>
              <w:rPr>
                <w:rFonts w:ascii="Times New Roman" w:cs="Times New Roman" w:eastAsia="Times New Roman" w:hAnsi="Times New Roman"/>
                <w:sz w:val="21"/>
                <w:szCs w:val="21"/>
              </w:rPr>
              <w:t xml:space="preserve">P88: Tebliğ-OBİS işleme süresi (iş günü)</w:t>
            </w:r>
          </w:p>
          <w:p>
            <w:pPr>
              <w:spacing w:after="40"/>
            </w:pPr>
            <w:r>
              <w:rPr>
                <w:rFonts w:ascii="Times New Roman" w:cs="Times New Roman" w:eastAsia="Times New Roman" w:hAnsi="Times New Roman"/>
                <w:sz w:val="21"/>
                <w:szCs w:val="21"/>
              </w:rPr>
              <w:t xml:space="preserve">P89: Form iade oranı (%)</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7. SÜREÇ SWOT ANALİZİ</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548235"/>
                <w:sz w:val="22"/>
                <w:szCs w:val="22"/>
              </w:rPr>
              <w:t xml:space="preserve">Güçlü Yönler (G)</w:t>
            </w:r>
          </w:p>
          <w:p>
            <w:pPr>
              <w:spacing w:after="40"/>
            </w:pPr>
            <w:r>
              <w:rPr>
                <w:rFonts w:ascii="Times New Roman" w:cs="Times New Roman" w:eastAsia="Times New Roman" w:hAnsi="Times New Roman"/>
                <w:sz w:val="20"/>
                <w:szCs w:val="20"/>
              </w:rPr>
              <w:t xml:space="preserve">G12: Standart dilekçe şablonları ile talep kalitesinin artırılması, iade oranının düşürülmesi</w:t>
            </w:r>
          </w:p>
          <w:p>
            <w:pPr>
              <w:spacing w:after="40"/>
            </w:pPr>
            <w:r>
              <w:rPr>
                <w:rFonts w:ascii="Times New Roman" w:cs="Times New Roman" w:eastAsia="Times New Roman" w:hAnsi="Times New Roman"/>
                <w:sz w:val="20"/>
                <w:szCs w:val="20"/>
              </w:rPr>
              <w:t xml:space="preserve">G9: Farklı Disiplinlerden Nitelik ve Nicelik Açsısından Güçlü Akademik Kadro Mevcudiyeti</w:t>
            </w:r>
          </w:p>
          <w:p>
            <w:pPr>
              <w:spacing w:after="40"/>
            </w:pPr>
            <w:r>
              <w:rPr>
                <w:rFonts w:ascii="Times New Roman" w:cs="Times New Roman" w:eastAsia="Times New Roman" w:hAnsi="Times New Roman"/>
                <w:sz w:val="20"/>
                <w:szCs w:val="20"/>
              </w:rPr>
              <w:t xml:space="preserve">G13: Uzaktan/hibrit savunma alt yapılarına sahiplik / erişim imkanı</w:t>
            </w:r>
          </w:p>
          <w:p>
            <w:pPr>
              <w:spacing w:after="40"/>
            </w:pPr>
            <w:r>
              <w:rPr>
                <w:rFonts w:ascii="Times New Roman" w:cs="Times New Roman" w:eastAsia="Times New Roman" w:hAnsi="Times New Roman"/>
                <w:sz w:val="20"/>
                <w:szCs w:val="20"/>
              </w:rPr>
              <w:t xml:space="preserve">G14: Dijital intihal tarama yazılımı kullanımı</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00000"/>
                <w:sz w:val="22"/>
                <w:szCs w:val="22"/>
              </w:rPr>
              <w:t xml:space="preserve">Zayıf Yönler (Z)</w:t>
            </w:r>
          </w:p>
          <w:p>
            <w:pPr>
              <w:spacing w:after="40"/>
            </w:pPr>
            <w:r>
              <w:rPr>
                <w:rFonts w:ascii="Times New Roman" w:cs="Times New Roman" w:eastAsia="Times New Roman" w:hAnsi="Times New Roman"/>
                <w:sz w:val="20"/>
                <w:szCs w:val="20"/>
              </w:rPr>
              <w:t xml:space="preserve">Z44: EABD'den tutanak iletiminde gecikme</w:t>
            </w:r>
          </w:p>
          <w:p>
            <w:pPr>
              <w:spacing w:after="40"/>
            </w:pPr>
            <w:r>
              <w:rPr>
                <w:rFonts w:ascii="Times New Roman" w:cs="Times New Roman" w:eastAsia="Times New Roman" w:hAnsi="Times New Roman"/>
                <w:sz w:val="20"/>
                <w:szCs w:val="20"/>
              </w:rPr>
              <w:t xml:space="preserve">Z16: Tebliğ ve belge işleme aşamasında manuel veri girişi kaynaklı hatalar</w:t>
            </w:r>
          </w:p>
          <w:p>
            <w:pPr>
              <w:spacing w:after="40"/>
            </w:pPr>
            <w:r>
              <w:rPr>
                <w:rFonts w:ascii="Times New Roman" w:cs="Times New Roman" w:eastAsia="Times New Roman" w:hAnsi="Times New Roman"/>
                <w:sz w:val="20"/>
                <w:szCs w:val="20"/>
              </w:rPr>
              <w:t xml:space="preserve">Z45: Tez önerisi metninin TİK üyelerine geç dağıtılması nedeniyle savunmanın ertelenme zorunluluğu</w:t>
            </w:r>
          </w:p>
          <w:p>
            <w:pPr>
              <w:spacing w:after="40"/>
            </w:pPr>
            <w:r>
              <w:rPr>
                <w:rFonts w:ascii="Times New Roman" w:cs="Times New Roman" w:eastAsia="Times New Roman" w:hAnsi="Times New Roman"/>
                <w:sz w:val="20"/>
                <w:szCs w:val="20"/>
              </w:rPr>
              <w:t xml:space="preserve">Z46: Dış kurum TİK üyelerinin yolluk-yevmiye akışında gecikme yaşanması ve katılım caydırıcılığı</w:t>
            </w:r>
          </w:p>
          <w:p>
            <w:pPr>
              <w:spacing w:after="40"/>
            </w:pPr>
            <w:r>
              <w:rPr>
                <w:rFonts w:ascii="Times New Roman" w:cs="Times New Roman" w:eastAsia="Times New Roman" w:hAnsi="Times New Roman"/>
                <w:sz w:val="20"/>
                <w:szCs w:val="20"/>
              </w:rPr>
              <w:t xml:space="preserve">Z47:Aynı dönemde çok sayıda tez önerisi savunmasının yığılması</w:t>
            </w:r>
          </w:p>
          <w:p>
            <w:pPr>
              <w:spacing w:after="40"/>
            </w:pPr>
            <w:r>
              <w:rPr>
                <w:rFonts w:ascii="Times New Roman" w:cs="Times New Roman" w:eastAsia="Times New Roman" w:hAnsi="Times New Roman"/>
                <w:sz w:val="20"/>
                <w:szCs w:val="20"/>
              </w:rPr>
              <w:t xml:space="preserve">Z19: EYK'nın Geç Toplanması- EYK Kararında gecikme</w:t>
            </w:r>
          </w:p>
        </w:tc>
      </w:tr>
      <w:tr>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2E5496"/>
                <w:sz w:val="22"/>
                <w:szCs w:val="22"/>
              </w:rPr>
              <w:t xml:space="preserve">Fırsatlar (F)</w:t>
            </w:r>
          </w:p>
          <w:p>
            <w:pPr>
              <w:spacing w:after="40"/>
            </w:pPr>
            <w:r>
              <w:rPr>
                <w:rFonts w:ascii="Times New Roman" w:cs="Times New Roman" w:eastAsia="Times New Roman" w:hAnsi="Times New Roman"/>
                <w:sz w:val="20"/>
                <w:szCs w:val="20"/>
              </w:rPr>
              <w:t xml:space="preserve">F45:Çevrim içi savunma imkanlarının gelişmesi</w:t>
            </w:r>
          </w:p>
          <w:p>
            <w:pPr>
              <w:spacing w:after="40"/>
            </w:pPr>
            <w:r>
              <w:rPr>
                <w:rFonts w:ascii="Times New Roman" w:cs="Times New Roman" w:eastAsia="Times New Roman" w:hAnsi="Times New Roman"/>
                <w:sz w:val="20"/>
                <w:szCs w:val="20"/>
              </w:rPr>
              <w:t xml:space="preserve">F46: Hibrit/çevrimiçi savunmanın Uluslararası jüri katılım imkanlarını arttırması</w:t>
            </w:r>
          </w:p>
          <w:p>
            <w:pPr>
              <w:spacing w:after="40"/>
            </w:pPr>
            <w:r>
              <w:rPr>
                <w:rFonts w:ascii="Times New Roman" w:cs="Times New Roman" w:eastAsia="Times New Roman" w:hAnsi="Times New Roman"/>
                <w:sz w:val="20"/>
                <w:szCs w:val="20"/>
              </w:rPr>
              <w:t xml:space="preserve">F48:Çevrim içi savunma imkanlarının benimsenmesi</w:t>
            </w:r>
          </w:p>
          <w:p>
            <w:pPr>
              <w:spacing w:after="40"/>
            </w:pPr>
            <w:r>
              <w:rPr>
                <w:rFonts w:ascii="Times New Roman" w:cs="Times New Roman" w:eastAsia="Times New Roman" w:hAnsi="Times New Roman"/>
                <w:sz w:val="20"/>
                <w:szCs w:val="20"/>
              </w:rPr>
              <w:t xml:space="preserve">F68: Akademik kalite standartlarının güçlenmesi</w:t>
            </w:r>
          </w:p>
          <w:p>
            <w:pPr>
              <w:spacing w:after="40"/>
            </w:pPr>
            <w:r>
              <w:rPr>
                <w:rFonts w:ascii="Times New Roman" w:cs="Times New Roman" w:eastAsia="Times New Roman" w:hAnsi="Times New Roman"/>
                <w:sz w:val="20"/>
                <w:szCs w:val="20"/>
              </w:rPr>
              <w:t xml:space="preserve">F69: Ölçme değerlendirme teknolojilerinin gelişmesi</w:t>
            </w:r>
          </w:p>
          <w:p>
            <w:pPr>
              <w:spacing w:after="40"/>
            </w:pPr>
            <w:r>
              <w:rPr>
                <w:rFonts w:ascii="Times New Roman" w:cs="Times New Roman" w:eastAsia="Times New Roman" w:hAnsi="Times New Roman"/>
                <w:sz w:val="20"/>
                <w:szCs w:val="20"/>
              </w:rPr>
              <w:t xml:space="preserve">F70: Çevrimiçi sınav-ölçme araçlarının çoklu jüri katılımına izin vermesi</w:t>
            </w:r>
          </w:p>
          <w:p>
            <w:pPr>
              <w:spacing w:after="40"/>
            </w:pPr>
            <w:r>
              <w:rPr>
                <w:rFonts w:ascii="Times New Roman" w:cs="Times New Roman" w:eastAsia="Times New Roman" w:hAnsi="Times New Roman"/>
                <w:sz w:val="20"/>
                <w:szCs w:val="20"/>
              </w:rPr>
              <w:t xml:space="preserve">F71: YÖK'ün dış üye katılımını teşvik eden düzenlemelerinin sınav nesnelliğini güçlendirmesi</w:t>
            </w:r>
          </w:p>
          <w:p>
            <w:pPr>
              <w:spacing w:after="40"/>
            </w:pPr>
            <w:r>
              <w:rPr>
                <w:rFonts w:ascii="Times New Roman" w:cs="Times New Roman" w:eastAsia="Times New Roman" w:hAnsi="Times New Roman"/>
                <w:sz w:val="20"/>
                <w:szCs w:val="20"/>
              </w:rPr>
              <w:t xml:space="preserve">F72: Disiplinlerarası TİK kompozisyonu için diğer üniversite ve uluslararası kurumlardan üye sağlanmasının kolaylaşması</w:t>
            </w:r>
          </w:p>
        </w:tc>
        <w:tc>
          <w:tcPr>
            <w:tcW w:type="dxa" w:w="4680"/>
            <w:tcBorders>
              <w:top w:val="single" w:color="BFBFBF" w:sz="4"/>
              <w:left w:val="single" w:color="BFBFBF" w:sz="4"/>
              <w:bottom w:val="single" w:color="BFBFBF" w:sz="4"/>
              <w:right w:val="single" w:color="BFBFBF" w:sz="4"/>
            </w:tcBorders>
            <w:tcMar>
              <w:top w:type="dxa" w:w="70"/>
              <w:left w:type="dxa" w:w="130"/>
              <w:bottom w:type="dxa" w:w="70"/>
              <w:right w:type="dxa" w:w="130"/>
            </w:tcMar>
            <w:vAlign w:val="top"/>
          </w:tcPr>
          <w:p>
            <w:pPr>
              <w:pBdr>
                <w:bottom w:val="single" w:color="BFBFBF" w:sz="4" w:space="2"/>
              </w:pBdr>
              <w:spacing w:after="60"/>
            </w:pPr>
            <w:r>
              <w:rPr>
                <w:rFonts w:ascii="Times New Roman" w:cs="Times New Roman" w:eastAsia="Times New Roman" w:hAnsi="Times New Roman"/>
                <w:b/>
                <w:bCs/>
                <w:color w:val="C55A11"/>
                <w:sz w:val="22"/>
                <w:szCs w:val="22"/>
              </w:rPr>
              <w:t xml:space="preserve">Tehditler (T)</w:t>
            </w:r>
          </w:p>
          <w:p>
            <w:pPr>
              <w:spacing w:after="40"/>
            </w:pPr>
            <w:r>
              <w:rPr>
                <w:rFonts w:ascii="Times New Roman" w:cs="Times New Roman" w:eastAsia="Times New Roman" w:hAnsi="Times New Roman"/>
                <w:sz w:val="20"/>
                <w:szCs w:val="20"/>
              </w:rPr>
              <w:t xml:space="preserve">T42: Benzerlik  tarama yazılım kullanımında lisans/erişim sorunları</w:t>
            </w:r>
          </w:p>
          <w:p>
            <w:pPr>
              <w:spacing w:after="40"/>
            </w:pPr>
            <w:r>
              <w:rPr>
                <w:rFonts w:ascii="Times New Roman" w:cs="Times New Roman" w:eastAsia="Times New Roman" w:hAnsi="Times New Roman"/>
                <w:sz w:val="20"/>
                <w:szCs w:val="20"/>
              </w:rPr>
              <w:t xml:space="preserve">T43: Çevirim içi süreçlerde / altyapılarda yaşanması muhtemel teknik aksaklıklar</w:t>
            </w:r>
          </w:p>
          <w:p>
            <w:pPr>
              <w:spacing w:after="40"/>
            </w:pPr>
            <w:r>
              <w:rPr>
                <w:rFonts w:ascii="Times New Roman" w:cs="Times New Roman" w:eastAsia="Times New Roman" w:hAnsi="Times New Roman"/>
                <w:sz w:val="20"/>
                <w:szCs w:val="20"/>
              </w:rPr>
              <w:t xml:space="preserve">T44: Jüri takvim uyumsuzlukları</w:t>
            </w:r>
          </w:p>
        </w:tc>
      </w:tr>
    </w:tbl>
    <w:p>
      <w:pPr>
        <w:spacing w:after="8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8. İLGİLİ MEVZUAT ve DOKÜMANLAR</w:t>
      </w:r>
    </w:p>
    <w:p>
      <w:pPr>
        <w:spacing w:after="40"/>
      </w:pPr>
    </w:p>
    <w:p>
      <w:pPr>
        <w:pStyle w:val="ListParagraph"/>
        <w:numPr>
          <w:ilvl w:val="0"/>
          <w:numId w:val="2"/>
        </w:numPr>
        <w:spacing w:after="30"/>
      </w:pPr>
      <w:r>
        <w:rPr>
          <w:rFonts w:ascii="Times New Roman" w:cs="Times New Roman" w:eastAsia="Times New Roman" w:hAnsi="Times New Roman"/>
          <w:sz w:val="21"/>
          <w:szCs w:val="21"/>
        </w:rPr>
        <w:t xml:space="preserve">2547 sayılı Yükseköğretim Kanunu</w:t>
      </w:r>
    </w:p>
    <w:p>
      <w:pPr>
        <w:pStyle w:val="ListParagraph"/>
        <w:numPr>
          <w:ilvl w:val="0"/>
          <w:numId w:val="2"/>
        </w:numPr>
        <w:spacing w:after="30"/>
      </w:pPr>
      <w:r>
        <w:rPr>
          <w:rFonts w:ascii="Times New Roman" w:cs="Times New Roman" w:eastAsia="Times New Roman" w:hAnsi="Times New Roman"/>
          <w:sz w:val="21"/>
          <w:szCs w:val="21"/>
        </w:rPr>
        <w:t xml:space="preserve">YÖK Lisansüstü Eğitim ve Öğretim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Lisansüstü Eğitim-Öğretim ve Sınav Yönetmeliği</w:t>
      </w:r>
    </w:p>
    <w:p>
      <w:pPr>
        <w:pStyle w:val="ListParagraph"/>
        <w:numPr>
          <w:ilvl w:val="0"/>
          <w:numId w:val="2"/>
        </w:numPr>
        <w:spacing w:after="30"/>
      </w:pPr>
      <w:r>
        <w:rPr>
          <w:rFonts w:ascii="Times New Roman" w:cs="Times New Roman" w:eastAsia="Times New Roman" w:hAnsi="Times New Roman"/>
          <w:sz w:val="21"/>
          <w:szCs w:val="21"/>
        </w:rPr>
        <w:t xml:space="preserve">Burdur Mehmet Akif Ersoy Üniversitesi Senatosu Kararları</w:t>
      </w:r>
    </w:p>
    <w:p>
      <w:pPr>
        <w:pStyle w:val="ListParagraph"/>
        <w:numPr>
          <w:ilvl w:val="0"/>
          <w:numId w:val="2"/>
        </w:numPr>
        <w:spacing w:after="30"/>
      </w:pPr>
      <w:r>
        <w:rPr>
          <w:rFonts w:ascii="Times New Roman" w:cs="Times New Roman" w:eastAsia="Times New Roman" w:hAnsi="Times New Roman"/>
          <w:sz w:val="21"/>
          <w:szCs w:val="21"/>
        </w:rPr>
        <w:t xml:space="preserve">TS EN ISO 9001:2015 Kalite Yönetim Sistemi Standardı</w:t>
      </w:r>
    </w:p>
    <w:p>
      <w:pPr>
        <w:spacing w:after="100"/>
      </w:pPr>
    </w:p>
    <w:p>
      <w:pPr>
        <w:keepNext/>
        <w:pBdr>
          <w:bottom w:val="single" w:color="392668" w:sz="8" w:space="3"/>
        </w:pBdr>
        <w:spacing w:after="80" w:before="160"/>
      </w:pPr>
      <w:r>
        <w:rPr>
          <w:rFonts w:ascii="Times New Roman" w:cs="Times New Roman" w:eastAsia="Times New Roman" w:hAnsi="Times New Roman"/>
          <w:b/>
          <w:bCs/>
          <w:color w:val="392668"/>
          <w:sz w:val="24"/>
          <w:szCs w:val="24"/>
        </w:rPr>
        <w:t xml:space="preserve">9. HAZIRLAYAN / KONTROL EDEN / ONAYLAYAN</w:t>
      </w:r>
    </w:p>
    <w:p>
      <w:pPr>
        <w:spacing w:after="5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HAZIRLAYAN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KONTROL EDEN</w:t>
            </w:r>
          </w:p>
        </w:tc>
        <w:tc>
          <w:tcPr>
            <w:tcW w:type="dxa" w:w="3120"/>
            <w:tcBorders>
              <w:top w:val="single" w:color="BFBFBF" w:sz="4"/>
              <w:left w:val="single" w:color="BFBFBF" w:sz="4"/>
              <w:bottom w:val="single" w:color="BFBFBF" w:sz="4"/>
              <w:right w:val="single" w:color="BFBFBF" w:sz="4"/>
            </w:tcBorders>
            <w:tcMar>
              <w:top w:type="dxa" w:w="40"/>
              <w:left w:type="dxa" w:w="100"/>
              <w:bottom w:type="dxa" w:w="40"/>
              <w:right w:type="dxa" w:w="100"/>
            </w:tcMar>
          </w:tcPr>
          <w:p>
            <w:pPr>
              <w:spacing w:after="0"/>
              <w:jc w:val="center"/>
            </w:pPr>
            <w:r>
              <w:rPr>
                <w:rFonts w:ascii="Times New Roman" w:cs="Times New Roman" w:eastAsia="Times New Roman" w:hAnsi="Times New Roman"/>
                <w:b/>
                <w:bCs/>
                <w:color w:val="392668"/>
                <w:sz w:val="20"/>
                <w:szCs w:val="20"/>
              </w:rPr>
              <w:t xml:space="preserve">ONAYLAYAN</w:t>
            </w:r>
          </w:p>
        </w:tc>
      </w:tr>
      <w:tr>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Kalite Birim Sorumlusu</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Sekreteri</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50"/>
              <w:left w:type="dxa" w:w="100"/>
              <w:bottom w:type="dxa" w:w="50"/>
              <w:right w:type="dxa" w:w="100"/>
            </w:tcMar>
          </w:tcPr>
          <w:p>
            <w:pPr>
              <w:spacing w:after="200"/>
              <w:jc w:val="center"/>
            </w:pPr>
            <w:r>
              <w:rPr>
                <w:rFonts w:ascii="Times New Roman" w:cs="Times New Roman" w:eastAsia="Times New Roman" w:hAnsi="Times New Roman"/>
                <w:sz w:val="20"/>
                <w:szCs w:val="20"/>
              </w:rPr>
              <w:t xml:space="preserve">Enstitü Müdürü</w:t>
            </w:r>
          </w:p>
          <w:p>
            <w:pPr>
              <w:spacing w:after="0"/>
              <w:jc w:val="center"/>
            </w:pPr>
            <w:r>
              <w:rPr>
                <w:rFonts w:ascii="Times New Roman" w:cs="Times New Roman" w:eastAsia="Times New Roman" w:hAnsi="Times New Roman"/>
                <w:i/>
                <w:iCs/>
                <w:color w:val="888888"/>
                <w:sz w:val="18"/>
                <w:szCs w:val="18"/>
              </w:rPr>
              <w:t xml:space="preserve">Ad Soyad</w:t>
            </w:r>
          </w:p>
          <w:p>
            <w:pPr>
              <w:spacing w:after="0"/>
              <w:jc w:val="center"/>
            </w:pPr>
            <w:r>
              <w:rPr>
                <w:rFonts w:ascii="Times New Roman" w:cs="Times New Roman" w:eastAsia="Times New Roman" w:hAnsi="Times New Roman"/>
                <w:i/>
                <w:iCs/>
                <w:color w:val="888888"/>
                <w:sz w:val="18"/>
                <w:szCs w:val="18"/>
              </w:rPr>
              <w:t xml:space="preserve">İmza / Tarih</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40"/>
      <w:jc w:val="left"/>
    </w:pPr>
    <w:r>
      <w:rPr>
        <w:rFonts w:ascii="Times New Roman" w:cs="Times New Roman" w:eastAsia="Times New Roman" w:hAnsi="Times New Roman"/>
        <w:i/>
        <w:iCs/>
        <w:sz w:val="15"/>
        <w:szCs w:val="15"/>
      </w:rPr>
      <w:t xml:space="preserve">Burdur Mehmet Akif Ersoy Üniversitesi - Sosyal Bilimler Enstitüsü</w:t>
    </w:r>
  </w:p>
  <w:p>
    <w:pPr>
      <w:spacing w:after="0"/>
      <w:jc w:val="left"/>
    </w:pPr>
    <w:r>
      <w:rPr>
        <w:rFonts w:ascii="Times New Roman" w:cs="Times New Roman" w:eastAsia="Times New Roman" w:hAnsi="Times New Roman"/>
        <w:i/>
        <w:iCs/>
        <w:sz w:val="15"/>
        <w:szCs w:val="15"/>
      </w:rPr>
      <w:t xml:space="preserve">Değirmenler Mah. Cevat Sayılı Bulvarı, İktisadi ve İdari Bilimler Fakültesi C Blok, 15200 BURDUR</w:t>
    </w:r>
  </w:p>
  <w:p>
    <w:pPr>
      <w:spacing w:after="0"/>
      <w:jc w:val="left"/>
    </w:pPr>
    <w:r>
      <w:rPr>
        <w:rFonts w:ascii="Times New Roman" w:cs="Times New Roman" w:eastAsia="Times New Roman" w:hAnsi="Times New Roman"/>
        <w:i/>
        <w:iCs/>
        <w:sz w:val="15"/>
        <w:szCs w:val="15"/>
      </w:rPr>
      <w:t xml:space="preserve">e-posta: sbe@mehmetakif.edu.tr  •  Tel: +90 248 213 31 69  •  Web: https://sbe.mehmetakif.edu.tr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BFBFBF" w:sz="4"/>
        <w:left w:val="single" w:color="BFBFBF" w:sz="4"/>
        <w:bottom w:val="single" w:color="BFBFBF" w:sz="4"/>
        <w:right w:val="single" w:color="BFBFBF"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spacing w:after="0"/>
            <w:jc w:val="center"/>
          </w:pPr>
          <w:r>
            <w:drawing>
              <wp:inline distT="0" distB="0" distL="0" distR="0">
                <wp:extent cx="609600" cy="6096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0"/>
            <w:jc w:val="center"/>
          </w:pPr>
          <w:r>
            <w:rPr>
              <w:rFonts w:ascii="Times New Roman" w:cs="Times New Roman" w:eastAsia="Times New Roman" w:hAnsi="Times New Roman"/>
              <w:b/>
              <w:bCs/>
              <w:color w:val="392668"/>
              <w:sz w:val="18"/>
              <w:szCs w:val="18"/>
            </w:rPr>
            <w:t xml:space="preserve">SOSYAL BİLİMLER ENSTİTÜSÜ</w:t>
          </w:r>
        </w:p>
        <w:p>
          <w:pPr>
            <w:spacing w:after="0" w:before="30"/>
            <w:jc w:val="center"/>
          </w:pPr>
          <w:r>
            <w:rPr>
              <w:rFonts w:ascii="Times New Roman" w:cs="Times New Roman" w:eastAsia="Times New Roman" w:hAnsi="Times New Roman"/>
              <w:b/>
              <w:bCs/>
              <w:color w:val="E40139"/>
              <w:sz w:val="20"/>
              <w:szCs w:val="20"/>
            </w:rPr>
            <w:t xml:space="preserve">SÜREÇ KARTI</w:t>
          </w:r>
        </w:p>
      </w:tc>
      <w:tc>
        <w:tcPr>
          <w:tcW w:type="dxa" w:w="3120"/>
          <w:tcBorders>
            <w:top w:val="single" w:color="BFBFBF" w:sz="4"/>
            <w:left w:val="single" w:color="BFBFBF" w:sz="4"/>
            <w:bottom w:val="single" w:color="BFBFBF" w:sz="4"/>
            <w:right w:val="single" w:color="BFBFBF" w:sz="4"/>
          </w:tcBorders>
          <w:tcMar>
            <w:top w:type="dxa" w:w="20"/>
            <w:left w:type="dxa" w:w="20"/>
            <w:bottom w:type="dxa" w:w="20"/>
            <w:right w:type="dxa" w:w="20"/>
          </w:tcMar>
          <w:vAlign w:val="center"/>
        </w:tcPr>
        <w:tbl>
          <w:tblPr>
            <w:tblW w:type="dxa" w:w="3120"/>
            <w:tblBorders>
              <w:top w:val="single" w:color="BFBFBF" w:sz="4"/>
              <w:left w:val="single" w:color="BFBFBF" w:sz="4"/>
              <w:bottom w:val="single" w:color="BFBFBF" w:sz="4"/>
              <w:right w:val="single" w:color="BFBFBF"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PK-01.20</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60"/>
                  <w:bottom w:type="dxa" w:w="20"/>
                  <w:right w:type="dxa" w:w="60"/>
                </w:tcMar>
                <w:vAlign w:val="center"/>
              </w:tcPr>
              <w:p>
                <w:pPr>
                  <w:spacing w:after="0"/>
                </w:pPr>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60"/>
      </w:pPr>
    </w:lvl>
  </w:abstractNum>
  <w:abstractNum w:abstractNumId="3" w15:restartNumberingAfterBreak="0">
    <w:multiLevelType w:val="hybridMultilevel"/>
    <w:lvl w:ilvl="0" w15:tentative="1">
      <w:start w:val="1"/>
      <w:numFmt w:val="decimal"/>
      <w:lvlText w:val="%1."/>
      <w:lvlJc w:val="left"/>
      <w:pPr>
        <w:ind w:left="44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cp:lastModifiedBy>Dr. Öğr. Üyesi Veysel DAL</cp:lastModifiedBy>
  <cp:revision>1</cp:revision>
  <dcterms:created xsi:type="dcterms:W3CDTF">2026-06-09T11:39:10.720Z</dcterms:created>
  <dcterms:modified xsi:type="dcterms:W3CDTF">2026-06-09T11:39:10.720Z</dcterms:modified>
</cp:coreProperties>
</file>

<file path=docProps/custom.xml><?xml version="1.0" encoding="utf-8"?>
<Properties xmlns="http://schemas.openxmlformats.org/officeDocument/2006/custom-properties" xmlns:vt="http://schemas.openxmlformats.org/officeDocument/2006/docPropsVTypes"/>
</file>