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  Savunma ve Sonuçlandırma Süreci-Doktora</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SRC-01.23</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Doktora adayının hazırladığı tezin; akademik standartlara (yazım kuralları, intihal vd. şartlar) uygunluğunu denetlemek, alanında uzman bağımsız bir jüri önünde bilimsel savunmasını gerçekleştirerek öğrencinin doktora derecesi almaya hak kazanıp kazanmadığını hukuki ve akademik olarak tescil etmektir.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Danışman Öğretim Üyesi</w:t>
      </w:r>
    </w:p>
    <w:p>
      <w:pPr>
        <w:pStyle w:val="ListParagraph"/>
        <w:numPr>
          <w:ilvl w:val="0"/>
          <w:numId w:val="2"/>
        </w:numPr>
        <w:spacing w:after="20"/>
      </w:pPr>
      <w:r>
        <w:rPr>
          <w:rFonts w:ascii="Times New Roman" w:cs="Times New Roman" w:eastAsia="Times New Roman" w:hAnsi="Times New Roman"/>
          <w:sz w:val="21"/>
          <w:szCs w:val="21"/>
        </w:rPr>
        <w:t xml:space="preserve">Doktora Tez Savunma Jürisi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YÖK Lisansüstü Eğitim ve Öğretim Yönetmeliği Madde 22, Burdur Mehmet Akif Ersoy Üniversitesi “Lisansüstü Eğitim-Öğretim ve Sınav Yönetmeliği Madde 30</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Doktora mezuniyet kararı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Enstitü tez yazım kurallarına uygun olarak yazılan tezin öğrenci tarafından tez danışmanına verilmesi (En az 3 tez izleme raporunu başarıyla tamamlayan ve yayın şartını sağlayan*)</w:t>
      </w:r>
    </w:p>
    <w:p>
      <w:pPr>
        <w:pStyle w:val="ListParagraph"/>
        <w:numPr>
          <w:ilvl w:val="0"/>
          <w:numId w:val="3"/>
        </w:numPr>
        <w:spacing w:after="20"/>
      </w:pPr>
      <w:r>
        <w:rPr>
          <w:rFonts w:ascii="Times New Roman" w:cs="Times New Roman" w:eastAsia="Times New Roman" w:hAnsi="Times New Roman"/>
          <w:sz w:val="21"/>
          <w:szCs w:val="21"/>
        </w:rPr>
        <w:t xml:space="preserve">Tez danışmanın, tezin savunulabilir olduğu görüşü ve intihal raporu ile birlikte ciltlenmemiş sekiz adet tezi ve üniversite adı altında yapılan çalışmasını basılı veya elektronik olarak EABD/EASD başkanlığına teslimi.</w:t>
      </w:r>
    </w:p>
    <w:p>
      <w:pPr>
        <w:pStyle w:val="ListParagraph"/>
        <w:numPr>
          <w:ilvl w:val="0"/>
          <w:numId w:val="3"/>
        </w:numPr>
        <w:spacing w:after="20"/>
      </w:pPr>
      <w:r>
        <w:rPr>
          <w:rFonts w:ascii="Times New Roman" w:cs="Times New Roman" w:eastAsia="Times New Roman" w:hAnsi="Times New Roman"/>
          <w:sz w:val="21"/>
          <w:szCs w:val="21"/>
        </w:rPr>
        <w:t xml:space="preserve">EABD/EASD başkanlığının önerisi ve EYK onayı ile  doktora tez savunma jurisinin**, tez savunma tarihi ve yerinin karara bağlanması ..</w:t>
      </w:r>
    </w:p>
    <w:p>
      <w:pPr>
        <w:pStyle w:val="ListParagraph"/>
        <w:numPr>
          <w:ilvl w:val="0"/>
          <w:numId w:val="3"/>
        </w:numPr>
        <w:spacing w:after="20"/>
      </w:pPr>
      <w:r>
        <w:rPr>
          <w:rFonts w:ascii="Times New Roman" w:cs="Times New Roman" w:eastAsia="Times New Roman" w:hAnsi="Times New Roman"/>
          <w:sz w:val="21"/>
          <w:szCs w:val="21"/>
        </w:rPr>
        <w:t xml:space="preserve">EYK kararının  EABD/EASD başkanlığı, tez savunma juri üyelerine enstitü tarafından bildirilmesi.</w:t>
      </w:r>
    </w:p>
    <w:p>
      <w:pPr>
        <w:pStyle w:val="ListParagraph"/>
        <w:numPr>
          <w:ilvl w:val="0"/>
          <w:numId w:val="3"/>
        </w:numPr>
        <w:spacing w:after="20"/>
      </w:pPr>
      <w:r>
        <w:rPr>
          <w:rFonts w:ascii="Times New Roman" w:cs="Times New Roman" w:eastAsia="Times New Roman" w:hAnsi="Times New Roman"/>
          <w:sz w:val="21"/>
          <w:szCs w:val="21"/>
        </w:rPr>
        <w:t xml:space="preserve">Tez savunma jürisinin belirtilen tarih ve yerde toplanması, sözlü savunmanın ve sınavın gerçekleştirilmesi.</w:t>
      </w:r>
    </w:p>
    <w:p>
      <w:pPr>
        <w:pStyle w:val="ListParagraph"/>
        <w:numPr>
          <w:ilvl w:val="0"/>
          <w:numId w:val="3"/>
        </w:numPr>
        <w:spacing w:after="20"/>
      </w:pPr>
      <w:r>
        <w:rPr>
          <w:rFonts w:ascii="Times New Roman" w:cs="Times New Roman" w:eastAsia="Times New Roman" w:hAnsi="Times New Roman"/>
          <w:sz w:val="21"/>
          <w:szCs w:val="21"/>
        </w:rPr>
        <w:t xml:space="preserve">Tez savunma jurisinin kararının (kabul, ret, düzeltme), EABD/EASD başkanlığınca tez sınavını izleyen üç gün içinde ilgili enstitüye tutanakla bildirmesi.</w:t>
      </w:r>
    </w:p>
    <w:p>
      <w:pPr>
        <w:pStyle w:val="ListParagraph"/>
        <w:numPr>
          <w:ilvl w:val="0"/>
          <w:numId w:val="3"/>
        </w:numPr>
        <w:spacing w:after="20"/>
      </w:pPr>
      <w:r>
        <w:rPr>
          <w:rFonts w:ascii="Times New Roman" w:cs="Times New Roman" w:eastAsia="Times New Roman" w:hAnsi="Times New Roman"/>
          <w:sz w:val="21"/>
          <w:szCs w:val="21"/>
        </w:rPr>
        <w:t xml:space="preserve">Tez savunma sınavı sonucunun Enstitü</w:t>
      </w:r>
    </w:p>
    <w:p>
      <w:pPr>
        <w:pStyle w:val="ListParagraph"/>
        <w:numPr>
          <w:ilvl w:val="0"/>
          <w:numId w:val="3"/>
        </w:numPr>
        <w:spacing w:after="20"/>
      </w:pPr>
      <w:r>
        <w:rPr>
          <w:rFonts w:ascii="Times New Roman" w:cs="Times New Roman" w:eastAsia="Times New Roman" w:hAnsi="Times New Roman"/>
          <w:sz w:val="21"/>
          <w:szCs w:val="21"/>
        </w:rPr>
        <w:t xml:space="preserve">Yönetim Kurulunda görüşülerek onaylanması; ilgili EABD/EASD başkanlığına ve danışman öğretim üyesine bildirilmesi.</w:t>
      </w:r>
    </w:p>
    <w:p>
      <w:pPr>
        <w:pStyle w:val="ListParagraph"/>
        <w:numPr>
          <w:ilvl w:val="0"/>
          <w:numId w:val="3"/>
        </w:numPr>
        <w:spacing w:after="20"/>
      </w:pPr>
      <w:r>
        <w:rPr>
          <w:rFonts w:ascii="Times New Roman" w:cs="Times New Roman" w:eastAsia="Times New Roman" w:hAnsi="Times New Roman"/>
          <w:sz w:val="21"/>
          <w:szCs w:val="21"/>
        </w:rPr>
        <w:t xml:space="preserve">*Burdur Mehmet Akif Ersoy Üniversitesi “Lisansüstü Eğitim-Öğretim ve Sınav Yönetmeliği Madde 30 /2. Temmuz 2025 sonrası ve öncesi yayın şartları değişmiştir. Dikkate alınacak!</w:t>
      </w:r>
    </w:p>
    <w:p>
      <w:pPr>
        <w:pStyle w:val="ListParagraph"/>
        <w:numPr>
          <w:ilvl w:val="0"/>
          <w:numId w:val="3"/>
        </w:numPr>
        <w:spacing w:after="20"/>
      </w:pPr>
      <w:r>
        <w:rPr>
          <w:rFonts w:ascii="Times New Roman" w:cs="Times New Roman" w:eastAsia="Times New Roman" w:hAnsi="Times New Roman"/>
          <w:sz w:val="21"/>
          <w:szCs w:val="21"/>
        </w:rPr>
        <w:t xml:space="preserve">**Üçü öğrencinin tez izleme komitesinde yer alan öğretim üyeleri ve en az ikisi diğer yükseköğretim kurumlarından olmak üzere danışman dahil beş öğretim üyesinden oluşur. Danışmanın oy hakkı olmaması durumunda jüri altı öğretim üyesinden oluşur. Ayrıca ikinci tez danışmanı oy hakkı olmaksızın jüride yer alabilir.</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 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Tez İzleme Süreci; Tez Önerisi Savunma Süreci; Tez Konusu Değişikliği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Diploma ve Mezuniyet Süreci - Doktora; Yönetim Kurulu Toplanma ve Karar Alma Süreci; Ek Ders Ücret Tahakkuk ve Ödeme Süreci ( Nihai olarak ders bitmiş oluyor)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H98: Danışman dosyasının EABD üzerinden enstitüye gelmesinden sonra EYK gündemine alınma süresinin 5 iş gününü geçmemesi</w:t>
            </w:r>
          </w:p>
          <w:p>
            <w:pPr>
              <w:spacing w:after="40"/>
            </w:pPr>
            <w:r>
              <w:rPr>
                <w:rFonts w:ascii="Times New Roman" w:cs="Times New Roman" w:eastAsia="Times New Roman" w:hAnsi="Times New Roman"/>
                <w:sz w:val="21"/>
                <w:szCs w:val="21"/>
              </w:rPr>
              <w:t xml:space="preserve">H99: Jüri tebliğ süresinin 5 iş gününü geçmemesi</w:t>
            </w:r>
          </w:p>
          <w:p>
            <w:pPr>
              <w:spacing w:after="40"/>
            </w:pPr>
            <w:r>
              <w:rPr>
                <w:rFonts w:ascii="Times New Roman" w:cs="Times New Roman" w:eastAsia="Times New Roman" w:hAnsi="Times New Roman"/>
                <w:sz w:val="21"/>
                <w:szCs w:val="21"/>
              </w:rPr>
              <w:t xml:space="preserve">H100: Müşterek Juri ve Bireysel Formların tesliminin sınav sonrası 3 iş günü uyum oranının %100 olması</w:t>
            </w:r>
          </w:p>
          <w:p>
            <w:pPr>
              <w:spacing w:after="40"/>
            </w:pPr>
            <w:r>
              <w:rPr>
                <w:rFonts w:ascii="Times New Roman" w:cs="Times New Roman" w:eastAsia="Times New Roman" w:hAnsi="Times New Roman"/>
                <w:sz w:val="21"/>
                <w:szCs w:val="21"/>
              </w:rPr>
              <w:t xml:space="preserve">H101: EYK onay süresinin tutanak gelişinden 10 iş gününü geçmemesi</w:t>
            </w:r>
          </w:p>
          <w:p>
            <w:pPr>
              <w:spacing w:after="40"/>
            </w:pPr>
            <w:r>
              <w:rPr>
                <w:rFonts w:ascii="Times New Roman" w:cs="Times New Roman" w:eastAsia="Times New Roman" w:hAnsi="Times New Roman"/>
                <w:sz w:val="21"/>
                <w:szCs w:val="21"/>
              </w:rPr>
              <w:t xml:space="preserve">H102: İntihal ve yayın şartı kontrol uygunluk oranının %100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P98: Dosya-EYK gündemi süresi (iş günü)</w:t>
            </w:r>
          </w:p>
          <w:p>
            <w:pPr>
              <w:spacing w:after="40"/>
            </w:pPr>
            <w:r>
              <w:rPr>
                <w:rFonts w:ascii="Times New Roman" w:cs="Times New Roman" w:eastAsia="Times New Roman" w:hAnsi="Times New Roman"/>
                <w:sz w:val="21"/>
                <w:szCs w:val="21"/>
              </w:rPr>
              <w:t xml:space="preserve">P99: Tebliğ süresi (iş günü)</w:t>
            </w:r>
          </w:p>
          <w:p>
            <w:pPr>
              <w:spacing w:after="40"/>
            </w:pPr>
            <w:r>
              <w:rPr>
                <w:rFonts w:ascii="Times New Roman" w:cs="Times New Roman" w:eastAsia="Times New Roman" w:hAnsi="Times New Roman"/>
                <w:sz w:val="21"/>
                <w:szCs w:val="21"/>
              </w:rPr>
              <w:t xml:space="preserve">P100: Tutanak teslim uyum oranı (%)</w:t>
            </w:r>
          </w:p>
          <w:p>
            <w:pPr>
              <w:spacing w:after="40"/>
            </w:pPr>
            <w:r>
              <w:rPr>
                <w:rFonts w:ascii="Times New Roman" w:cs="Times New Roman" w:eastAsia="Times New Roman" w:hAnsi="Times New Roman"/>
                <w:sz w:val="21"/>
                <w:szCs w:val="21"/>
              </w:rPr>
              <w:t xml:space="preserve">P101: EYK onay süresi (iş günü)</w:t>
            </w:r>
          </w:p>
          <w:p>
            <w:pPr>
              <w:spacing w:after="40"/>
            </w:pPr>
            <w:r>
              <w:rPr>
                <w:rFonts w:ascii="Times New Roman" w:cs="Times New Roman" w:eastAsia="Times New Roman" w:hAnsi="Times New Roman"/>
                <w:sz w:val="21"/>
                <w:szCs w:val="21"/>
              </w:rPr>
              <w:t xml:space="preserve">P102: Kontrol uygunluk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G21:  Çevrim içi savunma (dış/uluslararası jüri erişimi) olanağı</w:t>
            </w:r>
          </w:p>
          <w:p>
            <w:pPr>
              <w:spacing w:after="40"/>
            </w:pPr>
            <w:r>
              <w:rPr>
                <w:rFonts w:ascii="Times New Roman" w:cs="Times New Roman" w:eastAsia="Times New Roman" w:hAnsi="Times New Roman"/>
                <w:sz w:val="20"/>
                <w:szCs w:val="20"/>
              </w:rPr>
              <w:t xml:space="preserve">G22:  Hibrit/çevrim içi savunma altyapısı ile dış kurum jüri üyelerinin erişim kolaylığı</w:t>
            </w:r>
          </w:p>
          <w:p>
            <w:pPr>
              <w:spacing w:after="40"/>
            </w:pPr>
            <w:r>
              <w:rPr>
                <w:rFonts w:ascii="Times New Roman" w:cs="Times New Roman" w:eastAsia="Times New Roman" w:hAnsi="Times New Roman"/>
                <w:sz w:val="20"/>
                <w:szCs w:val="20"/>
              </w:rPr>
              <w:t xml:space="preserve">G14: Dijital intihal tarama yazılımı kullanımı</w:t>
            </w:r>
          </w:p>
          <w:p>
            <w:pPr>
              <w:spacing w:after="40"/>
            </w:pPr>
            <w:r>
              <w:rPr>
                <w:rFonts w:ascii="Times New Roman" w:cs="Times New Roman" w:eastAsia="Times New Roman" w:hAnsi="Times New Roman"/>
                <w:sz w:val="20"/>
                <w:szCs w:val="20"/>
              </w:rPr>
              <w:t xml:space="preserve">G17: Tez yazım kılavuzunun ve şekil kontrol listesinin tek dokümanda öğrenciye sunulması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Z44: EABD'den tutanak iletiminde gecikme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p>
            <w:pPr>
              <w:spacing w:after="40"/>
            </w:pPr>
            <w:r>
              <w:rPr>
                <w:rFonts w:ascii="Times New Roman" w:cs="Times New Roman" w:eastAsia="Times New Roman" w:hAnsi="Times New Roman"/>
                <w:sz w:val="20"/>
                <w:szCs w:val="20"/>
              </w:rPr>
              <w:t xml:space="preserve">Z45: Tez önerisi metninin TİK üyelerine geç dağıtılması nedeniyle savunmanın ertelenme zorunluluğu</w:t>
            </w:r>
          </w:p>
          <w:p>
            <w:pPr>
              <w:spacing w:after="40"/>
            </w:pPr>
            <w:r>
              <w:rPr>
                <w:rFonts w:ascii="Times New Roman" w:cs="Times New Roman" w:eastAsia="Times New Roman" w:hAnsi="Times New Roman"/>
                <w:sz w:val="20"/>
                <w:szCs w:val="20"/>
              </w:rPr>
              <w:t xml:space="preserve">Z46: Dış kurum TİK üyelerinin yolluk-yevmiye akışında gecikme yaşanması ve katılım caydırıcılığı</w:t>
            </w:r>
          </w:p>
          <w:p>
            <w:pPr>
              <w:spacing w:after="40"/>
            </w:pPr>
            <w:r>
              <w:rPr>
                <w:rFonts w:ascii="Times New Roman" w:cs="Times New Roman" w:eastAsia="Times New Roman" w:hAnsi="Times New Roman"/>
                <w:sz w:val="20"/>
                <w:szCs w:val="20"/>
              </w:rPr>
              <w:t xml:space="preserve">Z47:Aynı dönemde çok sayıda tez önerisi savunmasının yığılması</w:t>
            </w:r>
          </w:p>
          <w:p>
            <w:pPr>
              <w:spacing w:after="40"/>
            </w:pPr>
            <w:r>
              <w:rPr>
                <w:rFonts w:ascii="Times New Roman" w:cs="Times New Roman" w:eastAsia="Times New Roman" w:hAnsi="Times New Roman"/>
                <w:sz w:val="20"/>
                <w:szCs w:val="20"/>
              </w:rPr>
              <w:t xml:space="preserve">Z19: EYK'nın Geç Toplanması- EYK Kararında gecikme</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F45:Çevrim içi savunma imkanlarının gelişmesi</w:t>
            </w:r>
          </w:p>
          <w:p>
            <w:pPr>
              <w:spacing w:after="40"/>
            </w:pPr>
            <w:r>
              <w:rPr>
                <w:rFonts w:ascii="Times New Roman" w:cs="Times New Roman" w:eastAsia="Times New Roman" w:hAnsi="Times New Roman"/>
                <w:sz w:val="20"/>
                <w:szCs w:val="20"/>
              </w:rPr>
              <w:t xml:space="preserve">F46: Hibrit/çevrimiçi savunmanın Uluslararası jüri katılım imkanlarını arttırması</w:t>
            </w:r>
          </w:p>
          <w:p>
            <w:pPr>
              <w:spacing w:after="40"/>
            </w:pPr>
            <w:r>
              <w:rPr>
                <w:rFonts w:ascii="Times New Roman" w:cs="Times New Roman" w:eastAsia="Times New Roman" w:hAnsi="Times New Roman"/>
                <w:sz w:val="20"/>
                <w:szCs w:val="20"/>
              </w:rPr>
              <w:t xml:space="preserve">F47:Açık erişim ve YÖK Tez Merkezi politikasının tez görünürlüğünü artırması</w:t>
            </w:r>
          </w:p>
          <w:p>
            <w:pPr>
              <w:spacing w:after="40"/>
            </w:pPr>
            <w:r>
              <w:rPr>
                <w:rFonts w:ascii="Times New Roman" w:cs="Times New Roman" w:eastAsia="Times New Roman" w:hAnsi="Times New Roman"/>
                <w:sz w:val="20"/>
                <w:szCs w:val="20"/>
              </w:rPr>
              <w:t xml:space="preserve">F48:Çevrim içi savunma imkanlarının benimsenmesi</w:t>
            </w:r>
          </w:p>
          <w:p>
            <w:pPr>
              <w:spacing w:after="40"/>
            </w:pPr>
            <w:r>
              <w:rPr>
                <w:rFonts w:ascii="Times New Roman" w:cs="Times New Roman" w:eastAsia="Times New Roman" w:hAnsi="Times New Roman"/>
                <w:sz w:val="20"/>
                <w:szCs w:val="20"/>
              </w:rPr>
              <w:t xml:space="preserve">F68: Akademik kalite standartlarının güçlenmesi</w:t>
            </w:r>
          </w:p>
          <w:p>
            <w:pPr>
              <w:spacing w:after="40"/>
            </w:pPr>
            <w:r>
              <w:rPr>
                <w:rFonts w:ascii="Times New Roman" w:cs="Times New Roman" w:eastAsia="Times New Roman" w:hAnsi="Times New Roman"/>
                <w:sz w:val="20"/>
                <w:szCs w:val="20"/>
              </w:rPr>
              <w:t xml:space="preserve">F69: Ölçme değerlendirme teknolojilerinin gelişmesi</w:t>
            </w:r>
          </w:p>
          <w:p>
            <w:pPr>
              <w:spacing w:after="40"/>
            </w:pPr>
            <w:r>
              <w:rPr>
                <w:rFonts w:ascii="Times New Roman" w:cs="Times New Roman" w:eastAsia="Times New Roman" w:hAnsi="Times New Roman"/>
                <w:sz w:val="20"/>
                <w:szCs w:val="20"/>
              </w:rPr>
              <w:t xml:space="preserve">F70: Çevrimiçi sınav-ölçme araçlarının çoklu jüri katılımına izin vermesi</w:t>
            </w:r>
          </w:p>
          <w:p>
            <w:pPr>
              <w:spacing w:after="40"/>
            </w:pPr>
            <w:r>
              <w:rPr>
                <w:rFonts w:ascii="Times New Roman" w:cs="Times New Roman" w:eastAsia="Times New Roman" w:hAnsi="Times New Roman"/>
                <w:sz w:val="20"/>
                <w:szCs w:val="20"/>
              </w:rPr>
              <w:t xml:space="preserve">F71: YÖK'ün dış üye katılımını teşvik eden düzenlemelerinin sınav nesnelliğini güçlendirmesi</w:t>
            </w:r>
          </w:p>
          <w:p>
            <w:pPr>
              <w:spacing w:after="40"/>
            </w:pPr>
            <w:r>
              <w:rPr>
                <w:rFonts w:ascii="Times New Roman" w:cs="Times New Roman" w:eastAsia="Times New Roman" w:hAnsi="Times New Roman"/>
                <w:sz w:val="20"/>
                <w:szCs w:val="20"/>
              </w:rPr>
              <w:t xml:space="preserve">F72: Disiplinlerarası TİK kompozisyonu için diğer üniversite ve uluslararası kurumlardan üye sağlanmasının kolaylaşması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T42: Benzerlik  tarama yazılım kullanımında lisans/erişim sorunları</w:t>
            </w:r>
          </w:p>
          <w:p>
            <w:pPr>
              <w:spacing w:after="40"/>
            </w:pPr>
            <w:r>
              <w:rPr>
                <w:rFonts w:ascii="Times New Roman" w:cs="Times New Roman" w:eastAsia="Times New Roman" w:hAnsi="Times New Roman"/>
                <w:sz w:val="20"/>
                <w:szCs w:val="20"/>
              </w:rPr>
              <w:t xml:space="preserve">T43: Çevirim içi süreçlerde / altyapılarda yaşanması muhtemel teknik aksaklıklar</w:t>
            </w:r>
          </w:p>
          <w:p>
            <w:pPr>
              <w:spacing w:after="40"/>
            </w:pPr>
            <w:r>
              <w:rPr>
                <w:rFonts w:ascii="Times New Roman" w:cs="Times New Roman" w:eastAsia="Times New Roman" w:hAnsi="Times New Roman"/>
                <w:sz w:val="20"/>
                <w:szCs w:val="20"/>
              </w:rPr>
              <w:t xml:space="preserve">T44: Jüri takvim uyumsuzlukları</w:t>
            </w:r>
          </w:p>
          <w:p>
            <w:pPr>
              <w:spacing w:after="40"/>
            </w:pPr>
            <w:r>
              <w:rPr>
                <w:rFonts w:ascii="Times New Roman" w:cs="Times New Roman" w:eastAsia="Times New Roman" w:hAnsi="Times New Roman"/>
                <w:sz w:val="20"/>
                <w:szCs w:val="20"/>
              </w:rPr>
              <w:t xml:space="preserve">T48: Yayın şartının savunmadan önce sağlanmaması ve sürecin kilitlenmesi</w:t>
            </w:r>
          </w:p>
          <w:p>
            <w:pPr>
              <w:spacing w:after="40"/>
            </w:pPr>
            <w:r>
              <w:rPr>
                <w:rFonts w:ascii="Times New Roman" w:cs="Times New Roman" w:eastAsia="Times New Roman" w:hAnsi="Times New Roman"/>
                <w:sz w:val="20"/>
                <w:szCs w:val="20"/>
              </w:rPr>
              <w:t xml:space="preserve">T49: Yayının "Üniversite adresli" olmaması (öğrenci farklı kurum adresiyle yayımlamış olabilir)</w:t>
            </w:r>
          </w:p>
          <w:p>
            <w:pPr>
              <w:spacing w:after="40"/>
            </w:pPr>
            <w:r>
              <w:rPr>
                <w:rFonts w:ascii="Times New Roman" w:cs="Times New Roman" w:eastAsia="Times New Roman" w:hAnsi="Times New Roman"/>
                <w:sz w:val="20"/>
                <w:szCs w:val="20"/>
              </w:rPr>
              <w:t xml:space="preserve">T81: YÖK Tez Merkezi nezdinde yaşanabilecek teknik aksaklıklar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Sosyal Bilimler Enstitüsü</w:t>
    </w:r>
  </w:p>
  <w:p>
    <w:pPr>
      <w:spacing w:after="0"/>
      <w:jc w:val="left"/>
    </w:pPr>
    <w:r>
      <w:rPr>
        <w:rFonts w:ascii="Times New Roman" w:cs="Times New Roman" w:eastAsia="Times New Roman" w:hAnsi="Times New Roman"/>
        <w:i/>
        <w:iCs/>
        <w:sz w:val="15"/>
        <w:szCs w:val="15"/>
      </w:rPr>
      <w:t xml:space="preserve">Değirmenler Mah. Cevat Sayılı Bulvarı, İktisadi ve İdari Bilimler Fakültesi C Blok, 15200 BURDUR</w:t>
    </w:r>
  </w:p>
  <w:p>
    <w:pPr>
      <w:spacing w:after="0"/>
      <w:jc w:val="left"/>
    </w:pPr>
    <w:r>
      <w:rPr>
        <w:rFonts w:ascii="Times New Roman" w:cs="Times New Roman" w:eastAsia="Times New Roman" w:hAnsi="Times New Roman"/>
        <w:i/>
        <w:iCs/>
        <w:sz w:val="15"/>
        <w:szCs w:val="15"/>
      </w:rPr>
      <w:t xml:space="preserve">e-posta: sbe@mehmetakif.edu.tr  •  Tel: +90 248 213 31 69  •  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SOSYAL BİLİMLER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PK-01.23</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2026-06-09T11:39:10.883Z</dcterms:created>
  <dcterms:modified xsi:type="dcterms:W3CDTF">2026-06-09T11:39:10.883Z</dcterms:modified>
</cp:coreProperties>
</file>

<file path=docProps/custom.xml><?xml version="1.0" encoding="utf-8"?>
<Properties xmlns="http://schemas.openxmlformats.org/officeDocument/2006/custom-properties" xmlns:vt="http://schemas.openxmlformats.org/officeDocument/2006/docPropsVTypes"/>
</file>