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A236" w14:textId="1392A454" w:rsidR="005F46CC" w:rsidRPr="000D73EB" w:rsidRDefault="002C04F6" w:rsidP="005F46C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SAĞLIK BİLİMLERİ</w:t>
      </w:r>
      <w:r w:rsidR="005F46CC" w:rsidRPr="000D73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FAKÜLTESİ </w:t>
      </w:r>
      <w:r w:rsidR="002B2DC2" w:rsidRPr="000D73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KALİTE POLİTİKASI VE STRATEJİK HEDEFLERİ </w:t>
      </w:r>
    </w:p>
    <w:p w14:paraId="784DF03E" w14:textId="77777777" w:rsidR="002B2DC2" w:rsidRPr="000D73EB" w:rsidRDefault="008C3796" w:rsidP="005F46C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2B2DC2" w:rsidRPr="000D73EB">
        <w:rPr>
          <w:rFonts w:ascii="Times New Roman" w:hAnsi="Times New Roman" w:cs="Times New Roman"/>
          <w:b/>
          <w:color w:val="auto"/>
          <w:sz w:val="24"/>
          <w:szCs w:val="24"/>
        </w:rPr>
        <w:t>2022-2026</w:t>
      </w: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14:paraId="610679AD" w14:textId="77777777" w:rsidR="002B2DC2" w:rsidRPr="000D73EB" w:rsidRDefault="002B2DC2" w:rsidP="005F46C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076C521" w14:textId="77777777" w:rsidR="00D323F8" w:rsidRPr="000D73EB" w:rsidRDefault="005F46CC" w:rsidP="008C3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TEMEL AKADEMİK FAALİYETLER </w:t>
      </w:r>
      <w:r w:rsidRPr="000D73EB">
        <w:rPr>
          <w:rFonts w:ascii="Times New Roman" w:hAnsi="Times New Roman" w:cs="Times New Roman"/>
          <w:b/>
          <w:sz w:val="24"/>
          <w:szCs w:val="24"/>
        </w:rPr>
        <w:t>ANALİZİ</w:t>
      </w:r>
      <w:r w:rsidR="008C3796" w:rsidRPr="000D73EB">
        <w:rPr>
          <w:rFonts w:ascii="Times New Roman" w:hAnsi="Times New Roman" w:cs="Times New Roman"/>
          <w:b/>
          <w:sz w:val="24"/>
          <w:szCs w:val="24"/>
        </w:rPr>
        <w:t xml:space="preserve"> (2022 ve </w:t>
      </w:r>
      <w:r w:rsidR="002B2DC2" w:rsidRPr="000D73EB">
        <w:rPr>
          <w:rFonts w:ascii="Times New Roman" w:hAnsi="Times New Roman" w:cs="Times New Roman"/>
          <w:b/>
          <w:sz w:val="24"/>
          <w:szCs w:val="24"/>
        </w:rPr>
        <w:t>2023</w:t>
      </w:r>
      <w:r w:rsidR="008C3796" w:rsidRPr="000D73EB">
        <w:rPr>
          <w:rFonts w:ascii="Times New Roman" w:hAnsi="Times New Roman" w:cs="Times New Roman"/>
          <w:b/>
          <w:sz w:val="24"/>
          <w:szCs w:val="24"/>
        </w:rPr>
        <w:t xml:space="preserve"> Yılı)</w:t>
      </w:r>
    </w:p>
    <w:p w14:paraId="3E497852" w14:textId="77777777" w:rsidR="00363B2B" w:rsidRDefault="00363B2B" w:rsidP="00DD0A29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A96F848" w14:textId="1B8E546C" w:rsidR="00DD0A29" w:rsidRDefault="00DD0A29" w:rsidP="00DD0A29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73EB">
        <w:rPr>
          <w:rFonts w:ascii="Times New Roman" w:hAnsi="Times New Roman" w:cs="Times New Roman"/>
          <w:b/>
          <w:color w:val="auto"/>
          <w:sz w:val="24"/>
          <w:szCs w:val="24"/>
        </w:rPr>
        <w:t>Temel Akademik Faaliyetler: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176"/>
        <w:gridCol w:w="8884"/>
      </w:tblGrid>
      <w:tr w:rsidR="00DD0A29" w:rsidRPr="000D73EB" w14:paraId="5F584F0B" w14:textId="77777777" w:rsidTr="001566CC">
        <w:tc>
          <w:tcPr>
            <w:tcW w:w="10060" w:type="dxa"/>
            <w:gridSpan w:val="2"/>
          </w:tcPr>
          <w:p w14:paraId="3CBFDFA9" w14:textId="77777777" w:rsidR="00DD0A29" w:rsidRDefault="00DD0A2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Eğitim Öğretim/ Araştırma Geliştirme/Toplumsal Katkı</w:t>
            </w:r>
          </w:p>
          <w:p w14:paraId="27F439C0" w14:textId="77777777" w:rsidR="00DD0A29" w:rsidRPr="000D73EB" w:rsidRDefault="00DD0A2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F46CC" w:rsidRPr="000D73EB" w14:paraId="0C5D70E5" w14:textId="77777777" w:rsidTr="00F75C14">
        <w:trPr>
          <w:trHeight w:val="1559"/>
        </w:trPr>
        <w:tc>
          <w:tcPr>
            <w:tcW w:w="1129" w:type="dxa"/>
          </w:tcPr>
          <w:p w14:paraId="59DD4019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7F0D687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D62AB8C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D5BDDAC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853D1B8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2A16F8F" w14:textId="77777777" w:rsid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641BA7C" w14:textId="77777777" w:rsid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29BF281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3B2EEF9" w14:textId="77777777" w:rsidR="000D73EB" w:rsidRDefault="000D73E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2866B1A" w14:textId="77777777" w:rsidR="006D6C99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Güçlü </w:t>
            </w:r>
          </w:p>
          <w:p w14:paraId="79C77119" w14:textId="77777777" w:rsidR="006D6C99" w:rsidRDefault="006D6C99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34AD62D" w14:textId="77777777" w:rsidR="004C01E9" w:rsidRPr="000D73EB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Yönler</w:t>
            </w:r>
          </w:p>
        </w:tc>
        <w:tc>
          <w:tcPr>
            <w:tcW w:w="8931" w:type="dxa"/>
          </w:tcPr>
          <w:p w14:paraId="19076420" w14:textId="77777777" w:rsidR="004C01E9" w:rsidRPr="000D73EB" w:rsidRDefault="004C01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Fakültenin programlarının kontenjan doluluk oranının yüksek olması</w:t>
            </w:r>
          </w:p>
          <w:p w14:paraId="4B98E921" w14:textId="77777777" w:rsidR="004C01E9" w:rsidRPr="000D73EB" w:rsidRDefault="004C01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Gelişime açık, genç, dinamik ve nitelikli akademik personele sahip olmak</w:t>
            </w:r>
          </w:p>
          <w:p w14:paraId="44347818" w14:textId="79512620" w:rsidR="004C01E9" w:rsidRPr="000D73EB" w:rsidRDefault="004C01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Programlarda “</w:t>
            </w:r>
            <w:r w:rsidR="00E959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Beslenme ve Diyetetik Alanında Uygulamalar I, II, III ve IV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” gibi uygulamalı derslerin tüm paydaşların katılımıyla sistematik olarak yürütülmesi ve izlenmesi </w:t>
            </w:r>
          </w:p>
          <w:p w14:paraId="2BF01A25" w14:textId="77777777" w:rsidR="004C01E9" w:rsidRPr="000D73EB" w:rsidRDefault="004C01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Vizyon ve misyonun tüm iç paydaşlar tarafından içselleştirilip benimsenmesi</w:t>
            </w:r>
          </w:p>
          <w:p w14:paraId="51FF7369" w14:textId="77777777" w:rsidR="004C01E9" w:rsidRPr="000D73EB" w:rsidRDefault="004C01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Fakülte yönetimi, öğretim elemanları, idari personel ve öğrenciler arasında güçlü bir etkileşim ağı olması </w:t>
            </w:r>
          </w:p>
          <w:p w14:paraId="4FFB5291" w14:textId="77777777" w:rsidR="004C01E9" w:rsidRPr="000D73EB" w:rsidRDefault="004C01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elemanlarının uygulamaya ağırlık vermeleri, derslerde etkin öğrenci katılımı, etkili değerlendirme yöntemlerini kullanmaları</w:t>
            </w:r>
          </w:p>
          <w:p w14:paraId="779B7331" w14:textId="5416727A" w:rsidR="004C01E9" w:rsidRPr="00CA60CA" w:rsidRDefault="004C01E9" w:rsidP="00CA60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Eğitim ve öğretim süreçlerinde uygulama imkanlarının fiziksel açıdan da desteklenmesi, </w:t>
            </w:r>
            <w:r w:rsidR="00CA60CA"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Besin Hazırlama ve Pişirme İlkeleri Laboratuvarı, Besin Kimyası ve Analizleri ve Mikrobiyoloji Laboratuvarı, Hemşirelik Esasları Laboratuvarı, Doğum ve Kadın Hastalıkları Laboratuvarı, Acil Yardım ve Afet Yönetimi Laboratuvarı, </w:t>
            </w:r>
            <w:proofErr w:type="spellStart"/>
            <w:r w:rsidR="00CA60CA"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Terapötik</w:t>
            </w:r>
            <w:proofErr w:type="spellEnd"/>
            <w:r w:rsidR="00CA60CA"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Egzersiz Laboratuvarı, Manuel</w:t>
            </w:r>
            <w:r w:rsid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A60CA"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Terapi Laboratuvarı ve </w:t>
            </w:r>
            <w:proofErr w:type="spellStart"/>
            <w:r w:rsidR="00CA60CA"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Elektroterapi</w:t>
            </w:r>
            <w:proofErr w:type="spellEnd"/>
            <w:r w:rsidR="00CA60CA"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Laboratuvarı</w:t>
            </w:r>
            <w:r w:rsid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A60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bulunması</w:t>
            </w:r>
          </w:p>
          <w:p w14:paraId="219F1BEF" w14:textId="77777777" w:rsidR="00945160" w:rsidRPr="00945160" w:rsidRDefault="00945160" w:rsidP="009451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Kaynak ve bilgiye erişim olanakları açısından zengin veri tabanı ve kütüphaneye sahip olması.</w:t>
            </w:r>
          </w:p>
          <w:p w14:paraId="6FFF607C" w14:textId="77777777" w:rsidR="00945160" w:rsidRPr="00945160" w:rsidRDefault="00945160" w:rsidP="009451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Eğitim materyalleri-ders </w:t>
            </w:r>
            <w:proofErr w:type="spellStart"/>
            <w:r w:rsidRPr="00945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dökümanlarının</w:t>
            </w:r>
            <w:proofErr w:type="spellEnd"/>
            <w:r w:rsidRPr="00945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yeterli olması</w:t>
            </w:r>
          </w:p>
          <w:p w14:paraId="33256BE2" w14:textId="77777777" w:rsidR="00945160" w:rsidRPr="000D73EB" w:rsidRDefault="00945160" w:rsidP="009451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Güncel bilgi ve teknolojiyi izleme ve kullanma konusunda istekli olunması</w:t>
            </w:r>
          </w:p>
          <w:p w14:paraId="3DA89A3D" w14:textId="77777777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 memnuniyetinin yüksek olması.</w:t>
            </w:r>
          </w:p>
          <w:p w14:paraId="0831E789" w14:textId="77777777" w:rsid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Öğrencilerin çoğunluğunun, eğitim süreçlerini başarılı ve etkili olarak değerlendirmeleri</w:t>
            </w:r>
          </w:p>
          <w:p w14:paraId="7D8C3048" w14:textId="77777777" w:rsidR="00941BE9" w:rsidRPr="000D73EB" w:rsidRDefault="000D73EB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</w:t>
            </w:r>
            <w:r w:rsidR="00941B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ğretim elemanlarının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erişilebilir olması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41B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zamanla sınırlı olmayan ilgi ve desteğinden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öğrencilerin </w:t>
            </w:r>
            <w:r w:rsidR="00941B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memnun ol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maları</w:t>
            </w:r>
          </w:p>
          <w:p w14:paraId="06253F3C" w14:textId="77777777" w:rsidR="00941BE9" w:rsidRPr="000D73EB" w:rsidRDefault="000D73EB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Yönetimin</w:t>
            </w:r>
            <w:r w:rsidR="00941B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öğrenciler için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erişilebilir olması</w:t>
            </w:r>
          </w:p>
          <w:p w14:paraId="5DF784B0" w14:textId="77777777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Kütüphanenin kaynak çeşitliliği bakımından zengin olması, öğrenciler ve öğretim elemanları tarafından amaca uygun ve etkili olarak kullanılması</w:t>
            </w:r>
          </w:p>
          <w:p w14:paraId="7BAA2DFF" w14:textId="77777777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elemanlarının her dönem başında ve ihtiyaç duyduklarında yazılı kaynak ve materyal talebinde bulunması ve bu taleplerin karşılanması</w:t>
            </w:r>
          </w:p>
          <w:p w14:paraId="4D3068F7" w14:textId="77777777" w:rsidR="00941BE9" w:rsidRPr="000D73EB" w:rsidRDefault="008D279F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Üniversitenin ve fakültenin u</w:t>
            </w:r>
            <w:r w:rsidR="00941B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lusal ve uluslararası kurumlarla iş birliği ve iletişim ağının güçlü olması</w:t>
            </w:r>
          </w:p>
          <w:p w14:paraId="5537AF29" w14:textId="1E71943A" w:rsidR="00941BE9" w:rsidRPr="000D73EB" w:rsidRDefault="008D279F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</w:t>
            </w:r>
            <w:r w:rsidR="00941BE9"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çıktılarının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TYYÇ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Alan Yeterlikleri </w:t>
            </w:r>
            <w:r w:rsidR="000D1E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 Çekirdek Eğitim Programları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ile uyumlu olması</w:t>
            </w:r>
          </w:p>
          <w:p w14:paraId="6F1BA167" w14:textId="0854C3E6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Öğretim elemanlarının </w:t>
            </w:r>
            <w:r w:rsidR="00A47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profesyoneli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adayları ile birlikte ulusal ve uluslararası bildiri, poster sun</w:t>
            </w:r>
            <w:r w:rsidR="00D53B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mları ve makale yazmaları</w:t>
            </w:r>
          </w:p>
          <w:p w14:paraId="120BE821" w14:textId="77777777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Öğrencilere gerçek ortamlarda lisans eğitimleri süresince (</w:t>
            </w:r>
            <w:proofErr w:type="spellStart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pandemi</w:t>
            </w:r>
            <w:proofErr w:type="spellEnd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sürecinde sanal ortamlarda) öğretme ve sınıf yönetimi becerilerini uygulama olanağı ve performansları hakkında sürekli ve nitelikli geri bildirim fırsatı sağlanması</w:t>
            </w:r>
          </w:p>
          <w:p w14:paraId="6DD4E944" w14:textId="77777777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Öğretim elemanlarının ve öğrencilerin </w:t>
            </w:r>
            <w:r w:rsidR="00173C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TTO,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Burdur Gelişim Merkezi</w:t>
            </w:r>
            <w:r w:rsidR="00173C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Uluslararası İlişkiler Koordinatörlüğü, AYEUM vd. merkezlerin ücretsiz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imkânlarından faydalanarak eğitimler alması</w:t>
            </w:r>
          </w:p>
          <w:p w14:paraId="1C05C726" w14:textId="77777777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Mezunlarla iletişimin güçlü olması, mezunlar bilgi bankasının olması yanı sıra mezunlar günü etkinliği yapılması, mezunların çalıştıkları süre içinde derslere konuk olarak davet edilmesi</w:t>
            </w:r>
          </w:p>
          <w:p w14:paraId="24B5B095" w14:textId="77777777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 oryantasyon programının etkin şekilde uygulanması (</w:t>
            </w:r>
            <w:r w:rsidR="00FA14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Oryantasyon programı ve etkinlikleri,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gezisi, sunum programı vb.)</w:t>
            </w:r>
          </w:p>
          <w:p w14:paraId="69440B4F" w14:textId="4AA5605C" w:rsidR="00941BE9" w:rsidRPr="000D73EB" w:rsidRDefault="00941BE9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Alana özgü aktif çalışma topluluklarının bulunması (</w:t>
            </w:r>
            <w:r w:rsidR="00556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MAKÜ Beslenme ve Diyet Topluluğu, </w:t>
            </w:r>
            <w:r w:rsidR="00556309" w:rsidRPr="00556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MAKÜ Afet ve Acil Durum Yönetim </w:t>
            </w:r>
            <w:proofErr w:type="spellStart"/>
            <w:r w:rsidR="00556309" w:rsidRPr="00556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Afad</w:t>
            </w:r>
            <w:proofErr w:type="spellEnd"/>
            <w:r w:rsidR="00556309" w:rsidRPr="00556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Topluluğu</w:t>
            </w:r>
            <w:r w:rsidR="00556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813C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MAKÜ </w:t>
            </w:r>
            <w:r w:rsidR="00813C64" w:rsidRPr="00556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Hemşireler</w:t>
            </w:r>
            <w:r w:rsidR="00556309" w:rsidRPr="00556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Topluluğu</w:t>
            </w:r>
            <w:r w:rsidR="00124C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</w:t>
            </w:r>
            <w:r w:rsidR="00124C59" w:rsidRPr="00124C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Fizyoterapi Topluluğu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14:paraId="37FB2DD1" w14:textId="77777777" w:rsidR="004C01E9" w:rsidRPr="000D73EB" w:rsidRDefault="005636F3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 topluluklarının sosyal, bilimsel, kültürel etkinliklerinin desteklenmesi</w:t>
            </w:r>
          </w:p>
          <w:p w14:paraId="467C8F01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Üniversite hayatına yeni başlayan öğrencilere bir oryantasyon programı uygulanması ve izleyen süreçte </w:t>
            </w:r>
            <w:r w:rsidR="00FA14FA">
              <w:rPr>
                <w:rFonts w:ascii="Times New Roman" w:hAnsi="Times New Roman" w:cs="Times New Roman"/>
                <w:color w:val="auto"/>
              </w:rPr>
              <w:t xml:space="preserve">akademik </w:t>
            </w:r>
            <w:r w:rsidRPr="000D73EB">
              <w:rPr>
                <w:rFonts w:ascii="Times New Roman" w:hAnsi="Times New Roman" w:cs="Times New Roman"/>
                <w:color w:val="auto"/>
              </w:rPr>
              <w:t xml:space="preserve">danışmanlık hizmetlerinin etkili bir biçimde sürdürülmesi </w:t>
            </w:r>
          </w:p>
          <w:p w14:paraId="3387045D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Öğrencilerin öğrenci temsilcileri aracılığıyla yönetime katılmaları </w:t>
            </w:r>
          </w:p>
          <w:p w14:paraId="5DBF25F2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Derslerin dönem başında öğrencilerle paylaşılan ders izlenceleri doğrultusunda yürütülüyor olması </w:t>
            </w:r>
          </w:p>
          <w:p w14:paraId="091F9DAB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Dersle ilgili kaynakların, açık ders malzemeleri sisteminin web sayfasında paylaşılmış olması </w:t>
            </w:r>
          </w:p>
          <w:p w14:paraId="1CF05A0D" w14:textId="4D45EE42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Öğretim elemanlarının; mesleki gelişim ve araştırma yapma fırsatlarına sahip olması, üniversite ve topluma yararlı çalışmalar yapmaları, öğrencilere kişisel-sosyal, akademik ve kariyer gelişimi açısından gerekli rehberlik ve desteği sağlamaları, yeterli bir </w:t>
            </w:r>
            <w:r w:rsidR="000F6E34">
              <w:rPr>
                <w:rFonts w:ascii="Times New Roman" w:hAnsi="Times New Roman" w:cs="Times New Roman"/>
                <w:color w:val="auto"/>
              </w:rPr>
              <w:t>sağlık profesyoneli</w:t>
            </w:r>
            <w:r w:rsidRPr="000D73EB">
              <w:rPr>
                <w:rFonts w:ascii="Times New Roman" w:hAnsi="Times New Roman" w:cs="Times New Roman"/>
                <w:color w:val="auto"/>
              </w:rPr>
              <w:t xml:space="preserve"> olmaları için gerekli olanakları yaratmaları </w:t>
            </w:r>
          </w:p>
          <w:p w14:paraId="4BBB6FA7" w14:textId="2CCE5B18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Öğretim elemanlarının mesleki deneyim ve çalışma alanlarının </w:t>
            </w:r>
            <w:r w:rsidR="000F6E34">
              <w:rPr>
                <w:rFonts w:ascii="Times New Roman" w:hAnsi="Times New Roman" w:cs="Times New Roman"/>
                <w:color w:val="auto"/>
              </w:rPr>
              <w:t>verdikleri</w:t>
            </w:r>
            <w:r w:rsidRPr="000D73EB">
              <w:rPr>
                <w:rFonts w:ascii="Times New Roman" w:hAnsi="Times New Roman" w:cs="Times New Roman"/>
                <w:color w:val="auto"/>
              </w:rPr>
              <w:t xml:space="preserve"> derslerle örtüşmesi </w:t>
            </w:r>
          </w:p>
          <w:p w14:paraId="70B725B8" w14:textId="77777777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 xml:space="preserve">Öğretim elemanlarının makale, proje ve topluma hizmet uygulamalarının iş birliğini yansıtması </w:t>
            </w:r>
          </w:p>
          <w:p w14:paraId="3D2EEBB2" w14:textId="7EA40D80" w:rsidR="00F07A79" w:rsidRPr="000D73EB" w:rsidRDefault="00F07A79" w:rsidP="000D73E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0D73EB">
              <w:rPr>
                <w:rFonts w:ascii="Times New Roman" w:hAnsi="Times New Roman" w:cs="Times New Roman"/>
                <w:color w:val="auto"/>
              </w:rPr>
              <w:t>Fakülte bina</w:t>
            </w:r>
            <w:r w:rsidR="000F6E34">
              <w:rPr>
                <w:rFonts w:ascii="Times New Roman" w:hAnsi="Times New Roman" w:cs="Times New Roman"/>
                <w:color w:val="auto"/>
              </w:rPr>
              <w:t>sı</w:t>
            </w:r>
            <w:r w:rsidRPr="000D73EB">
              <w:rPr>
                <w:rFonts w:ascii="Times New Roman" w:hAnsi="Times New Roman" w:cs="Times New Roman"/>
                <w:color w:val="auto"/>
              </w:rPr>
              <w:t xml:space="preserve">nın engelsiz kampüs koşullarına uygun olarak planlanmış olması </w:t>
            </w:r>
          </w:p>
          <w:p w14:paraId="4C14DC36" w14:textId="77777777" w:rsidR="00300A40" w:rsidRPr="000D73EB" w:rsidRDefault="0091065E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Karar alma süreçlerine tüm paydaşların etkin bir biçimde katılması</w:t>
            </w:r>
          </w:p>
          <w:p w14:paraId="5750E792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Fakülte’nin kamuoyuna beyan edilen ve bilinen açık ve anlaşılır bir vizyon ve misyonunun olması,</w:t>
            </w:r>
          </w:p>
          <w:p w14:paraId="55D0B1B7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Üniversite düzeyinde öğretim elemanı, öğretim süreci ve öğrencilere ilişkin veri tabanının bulunması,</w:t>
            </w:r>
          </w:p>
          <w:p w14:paraId="423EA5FA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Öğrenci merkezli eğitim uygulamalarının yaygın şekilde yürütülmesi,</w:t>
            </w:r>
          </w:p>
          <w:p w14:paraId="78724241" w14:textId="04B8CD78" w:rsidR="00300A40" w:rsidRPr="000D73EB" w:rsidRDefault="00C52AE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Uygulamalı derslerde</w:t>
            </w:r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öğretim elemanı, </w:t>
            </w: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eğitim hemşiresi, diyetisyenler</w:t>
            </w:r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ve</w:t>
            </w: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AFAD ve Burdur İtfaiye Müdürlüğü ile</w:t>
            </w:r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sağlık profesyoneli</w:t>
            </w:r>
            <w:r w:rsidR="00300A40"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adayları arasındaki etkili bir iletişimin olması,</w:t>
            </w:r>
          </w:p>
          <w:p w14:paraId="7E4E2ED6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Seçmeli ders havuzunun zengin olması,</w:t>
            </w:r>
          </w:p>
          <w:p w14:paraId="1867CD44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Programın niteliğine uygun yeterli dersliklerin, altyapı ve donanımın bulunması,</w:t>
            </w:r>
          </w:p>
          <w:p w14:paraId="613A778D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Fiziki ve altyapı bakımından sosyal tesislerin ve kütüphanenin yeterli olması,</w:t>
            </w:r>
          </w:p>
          <w:p w14:paraId="4F964581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Lisans programlarının öğrenme çıktılarının sınıflandırılmasında Türkiye Yükseköğretim Yeterlilikler Çerçevesi (TYYÇ) ve alan yeterliklerinin dikkate alınması,</w:t>
            </w:r>
          </w:p>
          <w:p w14:paraId="52F544DF" w14:textId="44197C12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MAKÜ </w:t>
            </w:r>
            <w:r w:rsidR="00AD3B4C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Sağlık Bilimleri</w:t>
            </w: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Fakültesi </w:t>
            </w:r>
            <w:r w:rsidR="00AD3B4C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Uygulamalı dersler ve Staj yönergelerinin</w:t>
            </w: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 olması,</w:t>
            </w:r>
          </w:p>
          <w:p w14:paraId="26600524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Öğrencilerin değişim programlarından yararlanması,</w:t>
            </w:r>
          </w:p>
          <w:p w14:paraId="4CB1FFA8" w14:textId="77777777" w:rsidR="00300A40" w:rsidRPr="000D73EB" w:rsidRDefault="00300A40" w:rsidP="000D73E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Öğretim elemanı kadrolarının alanında uzman, yetkin öğretim üyelerinden oluşması,</w:t>
            </w:r>
          </w:p>
          <w:p w14:paraId="0108C91E" w14:textId="41F614B6" w:rsidR="005F46CC" w:rsidRPr="000D73EB" w:rsidRDefault="005F46CC" w:rsidP="000D7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Teknokent</w:t>
            </w:r>
            <w:proofErr w:type="spellEnd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Teknoloji Transfer Ofisi (TTO)</w:t>
            </w:r>
            <w:r w:rsidR="00AD3B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’</w:t>
            </w:r>
            <w:proofErr w:type="spellStart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nun</w:t>
            </w:r>
            <w:proofErr w:type="spellEnd"/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kurulması.</w:t>
            </w:r>
          </w:p>
          <w:p w14:paraId="3EA44B7C" w14:textId="77777777" w:rsidR="00300A40" w:rsidRPr="00184DE4" w:rsidRDefault="005F46CC" w:rsidP="005F46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4D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Çok sayıda araştırma uygulama merkezinin </w:t>
            </w:r>
            <w:r w:rsidR="00184D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olması</w:t>
            </w:r>
          </w:p>
          <w:p w14:paraId="3FF09A54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46CC" w:rsidRPr="000D73EB" w14:paraId="31415842" w14:textId="77777777" w:rsidTr="00A67E5C">
        <w:tc>
          <w:tcPr>
            <w:tcW w:w="1129" w:type="dxa"/>
          </w:tcPr>
          <w:p w14:paraId="77C0B5A3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05341D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AD06CA" w14:textId="77777777" w:rsidR="005636F3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EA4D72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4A9F4FE" w14:textId="77777777" w:rsidR="00A67E5C" w:rsidRPr="000D73EB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28814D" w14:textId="77777777" w:rsidR="006D6C99" w:rsidRDefault="0027358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6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Gelişime </w:t>
            </w:r>
          </w:p>
          <w:p w14:paraId="57F53652" w14:textId="77777777" w:rsidR="005636F3" w:rsidRPr="006D6C99" w:rsidRDefault="0027358B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6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Açık Yönler</w:t>
            </w:r>
          </w:p>
          <w:p w14:paraId="7531CF56" w14:textId="77777777" w:rsidR="005636F3" w:rsidRPr="000D73EB" w:rsidRDefault="005636F3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1" w:type="dxa"/>
          </w:tcPr>
          <w:p w14:paraId="064E235B" w14:textId="77777777" w:rsidR="00317A17" w:rsidRDefault="005636F3" w:rsidP="00AD3B4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Kampüs içi sosyal tesislerin </w:t>
            </w:r>
            <w:r w:rsid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artırılması</w:t>
            </w:r>
          </w:p>
          <w:p w14:paraId="7EAF00B8" w14:textId="62E0056A" w:rsidR="005636F3" w:rsidRPr="00317A17" w:rsidRDefault="00317A17" w:rsidP="00AD3B4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Programlarda </w:t>
            </w:r>
            <w:r w:rsidR="00F7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 görevlisi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</w:t>
            </w:r>
            <w:r w:rsidR="00F7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diğer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elemanın sayısının artırılması</w:t>
            </w:r>
            <w:r w:rsidR="005636F3"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ABB888F" w14:textId="77777777" w:rsidR="005636F3" w:rsidRPr="00317A17" w:rsidRDefault="005636F3" w:rsidP="00AD3B4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Programdaki uygulama derslerinin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dönemlerinin ve oranının artırılması</w:t>
            </w: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A270856" w14:textId="77777777" w:rsid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Programı yürüten öğretim üyesi sayısının artırılması, </w:t>
            </w:r>
          </w:p>
          <w:p w14:paraId="4C1C0E99" w14:textId="14B9A75F" w:rsidR="000D1E31" w:rsidRDefault="000D1E31" w:rsidP="00AD3B4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elemanlarının nitelik bakımından yeterli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liklerinin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uzmanlık alanlarının girdikleri derslerle ilişkili olması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nın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ilgili programın amaçlarına yönelik hizmetlerde bulunmaları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nın artırılması</w:t>
            </w:r>
          </w:p>
          <w:p w14:paraId="3156A99A" w14:textId="4B5725F8" w:rsidR="00FA699C" w:rsidRPr="00FA699C" w:rsidRDefault="00FA699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Öğretim elemanlarının ulusal ve uluslararası yayınlarının </w:t>
            </w: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artırılması</w:t>
            </w:r>
            <w:r w:rsidRPr="000D73E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,</w:t>
            </w:r>
          </w:p>
          <w:p w14:paraId="5677B81D" w14:textId="77ACA460" w:rsidR="005F46CC" w:rsidRP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Öğretim üyelerin dış kaynaklı projelerinin (TÜBİTAK, AB PROJELERİ gibi) </w:t>
            </w:r>
            <w:r w:rsid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artırılması </w:t>
            </w:r>
          </w:p>
          <w:p w14:paraId="5F533DB9" w14:textId="2AD28C67" w:rsidR="00AD3B4C" w:rsidRPr="00AD3B4C" w:rsidRDefault="00AD3B4C" w:rsidP="00AD3B4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Fakültedeki öğretim elemanının 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 üretme kapasitesinin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düşük olması</w:t>
            </w:r>
          </w:p>
          <w:p w14:paraId="49DF0774" w14:textId="0BF20916" w:rsidR="005F46CC" w:rsidRPr="00317A17" w:rsidRDefault="0027358B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K</w:t>
            </w:r>
            <w:r w:rsidR="005F46CC" w:rsidRPr="00317A17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>urum ve kuruluşlarla iş birliği ve ortak projelerin sınırlı olması</w:t>
            </w:r>
          </w:p>
          <w:p w14:paraId="308514A7" w14:textId="3DB4AC28" w:rsidR="00813C64" w:rsidRPr="00813C64" w:rsidRDefault="00813C64" w:rsidP="00AD3B4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profesyoneli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adaylarına her bir uygulama dersinde farklı türdeki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kuruluşlarında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uygulama yapma olanağının sunulması, değişik koşullarda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mesleki becerileri uygulamaya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hazır olmaları açısından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geliştirilmesi</w:t>
            </w:r>
          </w:p>
          <w:p w14:paraId="0C2DBB98" w14:textId="3B5B16C3" w:rsidR="0027358B" w:rsidRP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eastAsia="TimesNewRomanPSMT" w:hAnsi="Times New Roman" w:cs="Times New Roman"/>
                <w:color w:val="auto"/>
                <w:sz w:val="24"/>
                <w:szCs w:val="24"/>
              </w:rPr>
              <w:t xml:space="preserve">Mezunlarının daha fazla izlenmesine </w:t>
            </w:r>
          </w:p>
          <w:p w14:paraId="51827083" w14:textId="77777777" w:rsidR="0027358B" w:rsidRDefault="005F46CC" w:rsidP="0027358B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Akademik yayınların 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niteliğinin ve niceliğinin artırılması</w:t>
            </w:r>
          </w:p>
          <w:p w14:paraId="5C781408" w14:textId="25979DE9" w:rsidR="00963A53" w:rsidRPr="000D73EB" w:rsidRDefault="00963A53" w:rsidP="00AD3B4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Dersliklerin eğitim-öğretime elverişli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hale getirilmesi</w:t>
            </w:r>
            <w:r w:rsidRPr="000D73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teknik donanımlarının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geliştirilmesi</w:t>
            </w:r>
          </w:p>
          <w:p w14:paraId="261797AF" w14:textId="77777777" w:rsid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Uygulamaya yönelik dersler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 </w:t>
            </w:r>
            <w:proofErr w:type="spellStart"/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artırlması</w:t>
            </w:r>
            <w:proofErr w:type="spellEnd"/>
          </w:p>
          <w:p w14:paraId="7222DE87" w14:textId="77777777" w:rsid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Teknokent</w:t>
            </w:r>
            <w:proofErr w:type="spellEnd"/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TTO </w:t>
            </w:r>
            <w:proofErr w:type="spellStart"/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nin</w:t>
            </w:r>
            <w:proofErr w:type="spellEnd"/>
            <w:r w:rsidRPr="00317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çalışmalarının planlanmasını sağlayarak birimlere gerekli duyuruların yapılması</w:t>
            </w:r>
          </w:p>
          <w:p w14:paraId="3EBFC599" w14:textId="77777777" w:rsid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Kariyer Ofisinin çalışmaları</w:t>
            </w:r>
          </w:p>
          <w:p w14:paraId="1950086E" w14:textId="77777777" w:rsid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Engelli bireyler için erişebilir kampü</w:t>
            </w:r>
            <w:r w:rsid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</w:p>
          <w:p w14:paraId="2E6012CB" w14:textId="77777777" w:rsidR="0027358B" w:rsidRDefault="005F46CC" w:rsidP="00AD3B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Dış paydaş </w:t>
            </w:r>
            <w:proofErr w:type="gramStart"/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işbirliğinin</w:t>
            </w:r>
            <w:proofErr w:type="gramEnd"/>
            <w:r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arttırılarak eğitim programlarının tasarlanmasında paydaşların katılımının daha fazla sağlanması</w:t>
            </w:r>
          </w:p>
          <w:p w14:paraId="1531C438" w14:textId="1E4970A6" w:rsidR="005636F3" w:rsidRPr="00F33243" w:rsidRDefault="0027358B" w:rsidP="005F46C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="005F46CC" w:rsidRPr="00273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kademik birimlerin bölgesel katkı faaliyetlerine odaklanması</w:t>
            </w:r>
          </w:p>
        </w:tc>
      </w:tr>
      <w:tr w:rsidR="006D6C99" w:rsidRPr="000D73EB" w14:paraId="3D704B40" w14:textId="77777777" w:rsidTr="00A67E5C">
        <w:tc>
          <w:tcPr>
            <w:tcW w:w="1129" w:type="dxa"/>
          </w:tcPr>
          <w:p w14:paraId="32E3B37E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69C89B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41C85C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B05A65" w14:textId="77777777" w:rsidR="00A67E5C" w:rsidRP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788C0E4" w14:textId="77777777" w:rsidR="00A67E5C" w:rsidRPr="00A67E5C" w:rsidRDefault="00A67E5C" w:rsidP="005F46C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45CA965" w14:textId="77777777" w:rsidR="006D6C99" w:rsidRPr="000D73EB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E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Fırsatlar</w:t>
            </w:r>
          </w:p>
        </w:tc>
        <w:tc>
          <w:tcPr>
            <w:tcW w:w="8931" w:type="dxa"/>
          </w:tcPr>
          <w:p w14:paraId="41DB54DE" w14:textId="77777777" w:rsidR="001613BD" w:rsidRPr="001D23B7" w:rsidRDefault="006D6C99" w:rsidP="001D23B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Üniversitemizin </w:t>
            </w:r>
            <w:r w:rsidR="001613BD"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genç bir üniversite olması</w:t>
            </w:r>
            <w:r w:rsid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2211A123" w14:textId="77777777" w:rsidR="001613BD" w:rsidRPr="001D23B7" w:rsidRDefault="001613BD" w:rsidP="001D23B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Burdur ilinin huzurlu, güvenilir ve yaşanabilir bir şehir olması </w:t>
            </w:r>
          </w:p>
          <w:p w14:paraId="195F70FE" w14:textId="290FFD00" w:rsidR="001613BD" w:rsidRPr="001D23B7" w:rsidRDefault="001613BD" w:rsidP="001D23B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Dinamik, teknolojik gelişmelere ve iletişime açık, öğrenci merkezli bir üniversite üst yönetimine sahip olma</w:t>
            </w:r>
            <w:r w:rsidR="00F332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sı</w:t>
            </w:r>
          </w:p>
          <w:p w14:paraId="7802F4B8" w14:textId="3BCCF3FA" w:rsidR="001613BD" w:rsidRPr="00F33243" w:rsidRDefault="001613BD" w:rsidP="00F3324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Üniversitenin coğrafi konumunun sunduğu fırsatlar (Antalya’ya yakın olması sebebiyle ulaşım imkânları, </w:t>
            </w:r>
            <w:proofErr w:type="spellStart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sosyo</w:t>
            </w:r>
            <w:proofErr w:type="spellEnd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-kültürel olanaklar, bölgenin doğal</w:t>
            </w:r>
            <w:r w:rsidR="00F332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332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 kültürel zenginlikleri)</w:t>
            </w:r>
          </w:p>
          <w:p w14:paraId="24733480" w14:textId="77777777" w:rsidR="001613BD" w:rsidRPr="001D23B7" w:rsidRDefault="001613BD" w:rsidP="001D23B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Bölgesel ve </w:t>
            </w:r>
            <w:proofErr w:type="spellStart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sektörel</w:t>
            </w:r>
            <w:proofErr w:type="spellEnd"/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talepler doğrultusunda hızlı büyüme potansiyeline sahip bir üniversite olmak</w:t>
            </w:r>
          </w:p>
          <w:p w14:paraId="72B1DD80" w14:textId="77777777" w:rsidR="001613BD" w:rsidRPr="001D23B7" w:rsidRDefault="001613BD" w:rsidP="001D23B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 birimlerin araştırma ve uygulamalarına yönelik alanların (tarım, hayvancılık, gıda, arkeoloji, tarihi ve kültürel yapı) mevcut olması</w:t>
            </w:r>
          </w:p>
          <w:p w14:paraId="2C8B70E3" w14:textId="77777777" w:rsidR="001613BD" w:rsidRPr="001D23B7" w:rsidRDefault="001613BD" w:rsidP="001D23B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Yükseköğretim talebinin artması </w:t>
            </w:r>
          </w:p>
          <w:p w14:paraId="17A6AFD1" w14:textId="77777777" w:rsidR="001613BD" w:rsidRPr="001D23B7" w:rsidRDefault="001613BD" w:rsidP="001D23B7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Uluslararası üniversitelerle iş birlikleri </w:t>
            </w:r>
          </w:p>
          <w:p w14:paraId="36ED01F1" w14:textId="5897AD75" w:rsidR="006D6C99" w:rsidRPr="009830EA" w:rsidRDefault="001613BD" w:rsidP="001613B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Bölgesel ve ulusal ihtiyaçlara uygun bölüm ve programların mevcut olması</w:t>
            </w:r>
          </w:p>
        </w:tc>
      </w:tr>
      <w:tr w:rsidR="006D6C99" w:rsidRPr="000D73EB" w14:paraId="2CEFAD92" w14:textId="77777777" w:rsidTr="00A67E5C">
        <w:tc>
          <w:tcPr>
            <w:tcW w:w="1129" w:type="dxa"/>
          </w:tcPr>
          <w:p w14:paraId="1803A1C8" w14:textId="77777777" w:rsidR="001613BD" w:rsidRDefault="001613BD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622CBA" w14:textId="77777777" w:rsidR="001613BD" w:rsidRDefault="001613BD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5AC8D0" w14:textId="77777777" w:rsidR="00A67E5C" w:rsidRDefault="00A67E5C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D6CD51" w14:textId="77777777" w:rsidR="006D6C99" w:rsidRPr="000D73EB" w:rsidRDefault="006D6C99" w:rsidP="005F46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E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</w:t>
            </w:r>
            <w:r w:rsidR="00A67E5C" w:rsidRPr="00A67E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ehditler </w:t>
            </w:r>
          </w:p>
        </w:tc>
        <w:tc>
          <w:tcPr>
            <w:tcW w:w="8931" w:type="dxa"/>
          </w:tcPr>
          <w:p w14:paraId="135D1DB5" w14:textId="77777777" w:rsidR="009830EA" w:rsidRDefault="006D6C99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Akademik ve idari personel sayısının kısmen yetersiz olması ve iş yükünün artması</w:t>
            </w:r>
          </w:p>
          <w:p w14:paraId="7B8FA312" w14:textId="4DE633C6" w:rsidR="006D6C99" w:rsidRPr="00522581" w:rsidRDefault="006D6C99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Burdur ilinin sosyal ve kültürel olanaklarının yetersiz olması </w:t>
            </w:r>
          </w:p>
          <w:p w14:paraId="1E493B4F" w14:textId="55518CF3" w:rsidR="00F33243" w:rsidRPr="001D23B7" w:rsidRDefault="00F33243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Ülkemizin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profesyoneli</w:t>
            </w: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ihtiyacını karşılamaya cevap veren köklü bir fakülte olma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ması</w:t>
            </w:r>
          </w:p>
          <w:p w14:paraId="506FD31D" w14:textId="77777777" w:rsidR="00522581" w:rsidRPr="00522581" w:rsidRDefault="00522581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Rekabet edilecek üniversite/fakülte sayısı artış  </w:t>
            </w:r>
          </w:p>
          <w:p w14:paraId="6D02D6D3" w14:textId="77777777" w:rsidR="00522581" w:rsidRPr="00522581" w:rsidRDefault="00522581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Çevre illerde köklü üniversitelerin bulunması </w:t>
            </w:r>
          </w:p>
          <w:p w14:paraId="20F84DF2" w14:textId="77777777" w:rsidR="00522581" w:rsidRPr="00522581" w:rsidRDefault="00522581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Öğrencilerin bölge illerindeki üniversiteleri öncelikle tercih etmesi </w:t>
            </w:r>
          </w:p>
          <w:p w14:paraId="70D308F7" w14:textId="77777777" w:rsidR="00522581" w:rsidRPr="00522581" w:rsidRDefault="00522581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Büyükşehirlerde yer alan üniversitelerin öğrencilere ve çalışanlara daha geniş imkanlar sunması/Burdur ilinin aynı imkanları sunamaması</w:t>
            </w:r>
          </w:p>
          <w:p w14:paraId="477289AA" w14:textId="34FC224B" w:rsidR="00F33243" w:rsidRPr="001D23B7" w:rsidRDefault="00F33243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Uygulamaya yönelik dersler için uygulama sınıflarının olma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</w:t>
            </w: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sı </w:t>
            </w:r>
          </w:p>
          <w:p w14:paraId="6B0BD394" w14:textId="1AAB42D7" w:rsidR="006D6C99" w:rsidRPr="00522581" w:rsidRDefault="006D6C99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Mevzuatların sık değişmesi</w:t>
            </w:r>
          </w:p>
          <w:p w14:paraId="32354A0D" w14:textId="77777777" w:rsidR="00F33243" w:rsidRPr="001D23B7" w:rsidRDefault="00F33243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2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Üniversitenin proje üretme kapasitesinin güçlü olması</w:t>
            </w:r>
          </w:p>
          <w:p w14:paraId="3FC0CBAD" w14:textId="01F89E97" w:rsidR="006D6C99" w:rsidRPr="00522581" w:rsidRDefault="006D6C99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 sayısının ve rekabetin artması</w:t>
            </w:r>
          </w:p>
          <w:p w14:paraId="62528FE0" w14:textId="77777777" w:rsidR="006D6C99" w:rsidRPr="00522581" w:rsidRDefault="006D6C99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 başarı dilimindeki öğrencilerin</w:t>
            </w:r>
            <w:r w:rsidR="0065020A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üniversitemizi tercih etmemesi</w:t>
            </w:r>
          </w:p>
          <w:p w14:paraId="14667106" w14:textId="77777777" w:rsidR="006D6C99" w:rsidRPr="00522581" w:rsidRDefault="006D6C99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Yurt içi ve yurt dışı bilimsel faaliyetlere</w:t>
            </w:r>
            <w:r w:rsidR="0065020A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katılım için ayrılan kaynakların ihtiyacı</w:t>
            </w:r>
            <w:r w:rsid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613BD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karşılamada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yetersiz kalması</w:t>
            </w:r>
          </w:p>
          <w:p w14:paraId="390AB531" w14:textId="6716C29D" w:rsidR="001613BD" w:rsidRPr="00522581" w:rsidRDefault="001613BD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Eğitim-</w:t>
            </w:r>
            <w:r w:rsidR="006D6C99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Öğretim alanında kullanılan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D6C99"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teknolojilerde hızlı gelişmelerin</w:t>
            </w:r>
            <w:r w:rsidRPr="00522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81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yaşanması</w:t>
            </w:r>
          </w:p>
          <w:p w14:paraId="6AD5F39D" w14:textId="1765E94D" w:rsidR="006D6C99" w:rsidRPr="000D73EB" w:rsidRDefault="001613BD" w:rsidP="00F3324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 birimlerde dışında kontenjanların yükse</w:t>
            </w:r>
            <w:r w:rsidR="00C53F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A67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olması</w:t>
            </w:r>
          </w:p>
        </w:tc>
      </w:tr>
    </w:tbl>
    <w:p w14:paraId="01E2844C" w14:textId="77777777" w:rsidR="00D323F8" w:rsidRPr="000D73EB" w:rsidRDefault="00D323F8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9FA0B4F" w14:textId="77777777" w:rsidR="00D323F8" w:rsidRPr="000D73EB" w:rsidRDefault="00D323F8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238B3D6" w14:textId="77777777" w:rsidR="009830EA" w:rsidRDefault="009830EA" w:rsidP="00A67E5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830EA">
        <w:rPr>
          <w:rFonts w:ascii="Times New Roman" w:hAnsi="Times New Roman" w:cs="Times New Roman"/>
          <w:b/>
          <w:bCs/>
          <w:color w:val="auto"/>
          <w:sz w:val="24"/>
          <w:szCs w:val="24"/>
        </w:rPr>
        <w:t>SAĞLIK BİLİMLERİ</w:t>
      </w:r>
      <w:r w:rsidR="00A67E5C" w:rsidRPr="009830E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FAKÜLTESİ KALİTE KOMİSYONU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393D3D3" w14:textId="11CCA092" w:rsidR="00A67E5C" w:rsidRPr="009830EA" w:rsidRDefault="00A67E5C" w:rsidP="00A67E5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830E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2023 KASIM </w:t>
      </w:r>
    </w:p>
    <w:p w14:paraId="79320BEF" w14:textId="77777777" w:rsidR="00A67E5C" w:rsidRPr="000D73EB" w:rsidRDefault="00A67E5C" w:rsidP="00A67E5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000B834" w14:textId="77777777" w:rsidR="005F46CC" w:rsidRPr="000D73EB" w:rsidRDefault="005F46CC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6A7576B" w14:textId="77777777" w:rsidR="005F46CC" w:rsidRPr="000D73EB" w:rsidRDefault="005F46CC" w:rsidP="005F46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F46CC" w:rsidRPr="000D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A6A"/>
    <w:multiLevelType w:val="hybridMultilevel"/>
    <w:tmpl w:val="E30E2E9E"/>
    <w:lvl w:ilvl="0" w:tplc="AF7E227A">
      <w:start w:val="1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30"/>
    <w:multiLevelType w:val="hybridMultilevel"/>
    <w:tmpl w:val="643A66A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A00A67"/>
    <w:multiLevelType w:val="hybridMultilevel"/>
    <w:tmpl w:val="682E100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00A7"/>
    <w:multiLevelType w:val="hybridMultilevel"/>
    <w:tmpl w:val="A64421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08B770">
      <w:start w:val="8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555B2"/>
    <w:multiLevelType w:val="hybridMultilevel"/>
    <w:tmpl w:val="8FE260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29E0"/>
    <w:multiLevelType w:val="hybridMultilevel"/>
    <w:tmpl w:val="4A0AC4B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F8"/>
    <w:rsid w:val="000D1E31"/>
    <w:rsid w:val="000D73EB"/>
    <w:rsid w:val="000E2CEE"/>
    <w:rsid w:val="000F6E34"/>
    <w:rsid w:val="00124C59"/>
    <w:rsid w:val="001613BD"/>
    <w:rsid w:val="00173C18"/>
    <w:rsid w:val="00184DE4"/>
    <w:rsid w:val="001D23B7"/>
    <w:rsid w:val="001D32A3"/>
    <w:rsid w:val="0027358B"/>
    <w:rsid w:val="002B2DC2"/>
    <w:rsid w:val="002C04F6"/>
    <w:rsid w:val="00300A40"/>
    <w:rsid w:val="00317A17"/>
    <w:rsid w:val="00363B2B"/>
    <w:rsid w:val="003C1D55"/>
    <w:rsid w:val="003C672A"/>
    <w:rsid w:val="004C01E9"/>
    <w:rsid w:val="004F386E"/>
    <w:rsid w:val="00522581"/>
    <w:rsid w:val="00556309"/>
    <w:rsid w:val="005636F3"/>
    <w:rsid w:val="005F46CC"/>
    <w:rsid w:val="0065020A"/>
    <w:rsid w:val="006915AE"/>
    <w:rsid w:val="006D526B"/>
    <w:rsid w:val="006D6C99"/>
    <w:rsid w:val="00813C64"/>
    <w:rsid w:val="00842744"/>
    <w:rsid w:val="00881F60"/>
    <w:rsid w:val="008C3796"/>
    <w:rsid w:val="008D279F"/>
    <w:rsid w:val="00901168"/>
    <w:rsid w:val="0091065E"/>
    <w:rsid w:val="00932242"/>
    <w:rsid w:val="00941BE9"/>
    <w:rsid w:val="00945160"/>
    <w:rsid w:val="00963A53"/>
    <w:rsid w:val="009830EA"/>
    <w:rsid w:val="00A47635"/>
    <w:rsid w:val="00A65820"/>
    <w:rsid w:val="00A67E5C"/>
    <w:rsid w:val="00AA4F13"/>
    <w:rsid w:val="00AD3B4C"/>
    <w:rsid w:val="00C52AE0"/>
    <w:rsid w:val="00C53F27"/>
    <w:rsid w:val="00C91A7F"/>
    <w:rsid w:val="00CA450B"/>
    <w:rsid w:val="00CA60CA"/>
    <w:rsid w:val="00CB3FFA"/>
    <w:rsid w:val="00D323F8"/>
    <w:rsid w:val="00D53B01"/>
    <w:rsid w:val="00DD0A29"/>
    <w:rsid w:val="00E77518"/>
    <w:rsid w:val="00E959F9"/>
    <w:rsid w:val="00F07A79"/>
    <w:rsid w:val="00F14A3E"/>
    <w:rsid w:val="00F33243"/>
    <w:rsid w:val="00F75C14"/>
    <w:rsid w:val="00FA14FA"/>
    <w:rsid w:val="00F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8D25"/>
  <w15:chartTrackingRefBased/>
  <w15:docId w15:val="{912892FF-3771-4352-A9AF-C68067E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7F"/>
    <w:rPr>
      <w:rFonts w:ascii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A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D7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Yeşil Sar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FİRDEVS</dc:creator>
  <cp:keywords/>
  <dc:description/>
  <cp:lastModifiedBy>Lenovo</cp:lastModifiedBy>
  <cp:revision>21</cp:revision>
  <dcterms:created xsi:type="dcterms:W3CDTF">2023-12-02T20:11:00Z</dcterms:created>
  <dcterms:modified xsi:type="dcterms:W3CDTF">2023-12-04T10:50:00Z</dcterms:modified>
</cp:coreProperties>
</file>